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F4549" w14:textId="77777777" w:rsidR="004410FE" w:rsidRPr="004E6BDC" w:rsidRDefault="004410FE" w:rsidP="004E6BDC">
      <w:pPr>
        <w:spacing w:after="0" w:line="240" w:lineRule="auto"/>
        <w:jc w:val="right"/>
        <w:rPr>
          <w:rFonts w:ascii="Times New Roman" w:hAnsi="Times New Roman" w:cs="Times New Roman"/>
          <w:b/>
          <w:bCs/>
          <w:i/>
          <w:sz w:val="28"/>
          <w:szCs w:val="28"/>
        </w:rPr>
      </w:pPr>
    </w:p>
    <w:p w14:paraId="17C9F914" w14:textId="77777777" w:rsidR="000A4EBA" w:rsidRPr="004E6BDC" w:rsidRDefault="00081ADE" w:rsidP="004E6BDC">
      <w:pPr>
        <w:spacing w:after="0" w:line="240" w:lineRule="auto"/>
        <w:ind w:left="360" w:hanging="1560"/>
        <w:jc w:val="center"/>
        <w:rPr>
          <w:rFonts w:ascii="Times New Roman" w:hAnsi="Times New Roman" w:cs="Times New Roman"/>
          <w:b/>
          <w:sz w:val="28"/>
          <w:szCs w:val="28"/>
          <w:u w:val="single"/>
          <w:lang w:val="az-Latn-AZ"/>
        </w:rPr>
      </w:pPr>
      <w:r w:rsidRPr="004E6BDC">
        <w:rPr>
          <w:rFonts w:ascii="Times New Roman" w:hAnsi="Times New Roman" w:cs="Times New Roman"/>
          <w:b/>
          <w:sz w:val="28"/>
          <w:szCs w:val="28"/>
          <w:u w:val="single"/>
          <w:lang w:val="az-Latn-AZ"/>
        </w:rPr>
        <w:t>Lecture</w:t>
      </w:r>
      <w:r w:rsidR="000A4EBA" w:rsidRPr="004E6BDC">
        <w:rPr>
          <w:rFonts w:ascii="Times New Roman" w:hAnsi="Times New Roman" w:cs="Times New Roman"/>
          <w:b/>
          <w:sz w:val="28"/>
          <w:szCs w:val="28"/>
          <w:u w:val="single"/>
          <w:lang w:val="az-Latn-AZ"/>
        </w:rPr>
        <w:t xml:space="preserve"> 9</w:t>
      </w:r>
      <w:r w:rsidR="00D7244F" w:rsidRPr="004E6BDC">
        <w:rPr>
          <w:rFonts w:ascii="Times New Roman" w:hAnsi="Times New Roman" w:cs="Times New Roman"/>
          <w:b/>
          <w:sz w:val="28"/>
          <w:szCs w:val="28"/>
          <w:u w:val="single"/>
          <w:lang w:val="az-Latn-AZ"/>
        </w:rPr>
        <w:t>.</w:t>
      </w:r>
    </w:p>
    <w:p w14:paraId="3A65256B" w14:textId="77777777" w:rsidR="000A4EBA" w:rsidRPr="004E6BDC" w:rsidRDefault="000A4EBA" w:rsidP="004E6BDC">
      <w:pPr>
        <w:spacing w:after="0" w:line="240" w:lineRule="auto"/>
        <w:jc w:val="center"/>
        <w:rPr>
          <w:rFonts w:ascii="Times New Roman" w:hAnsi="Times New Roman" w:cs="Times New Roman"/>
          <w:b/>
          <w:sz w:val="28"/>
          <w:szCs w:val="28"/>
          <w:u w:val="single"/>
          <w:lang w:val="az-Latn-AZ"/>
        </w:rPr>
      </w:pPr>
    </w:p>
    <w:p w14:paraId="555959B4" w14:textId="77777777" w:rsidR="00081ADE" w:rsidRPr="004E6BDC" w:rsidRDefault="009543C0" w:rsidP="004E6BDC">
      <w:pPr>
        <w:tabs>
          <w:tab w:val="left" w:pos="270"/>
        </w:tabs>
        <w:spacing w:after="0" w:line="240" w:lineRule="auto"/>
        <w:jc w:val="center"/>
        <w:rPr>
          <w:rFonts w:ascii="Times New Roman" w:hAnsi="Times New Roman" w:cs="Times New Roman"/>
          <w:b/>
          <w:sz w:val="28"/>
          <w:szCs w:val="28"/>
          <w:u w:val="single"/>
          <w:lang w:val="en-US"/>
        </w:rPr>
      </w:pPr>
      <w:r w:rsidRPr="004E6BDC">
        <w:rPr>
          <w:rFonts w:ascii="Times New Roman" w:hAnsi="Times New Roman" w:cs="Times New Roman"/>
          <w:b/>
          <w:sz w:val="28"/>
          <w:szCs w:val="28"/>
          <w:u w:val="single"/>
          <w:lang w:val="en-US"/>
        </w:rPr>
        <w:t xml:space="preserve">Immune response, its types (cellular and humoral) and mechanisms. Cooperation of </w:t>
      </w:r>
      <w:proofErr w:type="spellStart"/>
      <w:r w:rsidRPr="004E6BDC">
        <w:rPr>
          <w:rFonts w:ascii="Times New Roman" w:hAnsi="Times New Roman" w:cs="Times New Roman"/>
          <w:b/>
          <w:sz w:val="28"/>
          <w:szCs w:val="28"/>
          <w:u w:val="single"/>
          <w:lang w:val="en-US"/>
        </w:rPr>
        <w:t>immuncompetent</w:t>
      </w:r>
      <w:proofErr w:type="spellEnd"/>
      <w:r w:rsidRPr="004E6BDC">
        <w:rPr>
          <w:rFonts w:ascii="Times New Roman" w:hAnsi="Times New Roman" w:cs="Times New Roman"/>
          <w:b/>
          <w:sz w:val="28"/>
          <w:szCs w:val="28"/>
          <w:u w:val="single"/>
          <w:lang w:val="en-US"/>
        </w:rPr>
        <w:t xml:space="preserve"> cells in the immune response. Immune response. Antibody formation, immunoglobulins and their classes. Immune phagocytosis, hypersensitivity reactions, immunological memory, immunological tolerance, antibody-dependent and independent. Characteristics of the immune response depending on the pathogen</w:t>
      </w:r>
    </w:p>
    <w:p w14:paraId="5FD33471" w14:textId="77777777" w:rsidR="00A30BE1" w:rsidRPr="004E6BDC" w:rsidRDefault="00A30BE1" w:rsidP="004E6BDC">
      <w:pPr>
        <w:tabs>
          <w:tab w:val="left" w:pos="270"/>
        </w:tabs>
        <w:spacing w:after="0" w:line="240" w:lineRule="auto"/>
        <w:jc w:val="center"/>
        <w:rPr>
          <w:rFonts w:ascii="Times New Roman" w:hAnsi="Times New Roman" w:cs="Times New Roman"/>
          <w:b/>
          <w:sz w:val="28"/>
          <w:szCs w:val="28"/>
          <w:u w:val="single"/>
          <w:lang w:val="en-US"/>
        </w:rPr>
      </w:pPr>
    </w:p>
    <w:p w14:paraId="448FBC06" w14:textId="77777777" w:rsidR="009543C0" w:rsidRPr="004E6BDC" w:rsidRDefault="00081ADE" w:rsidP="004E6BDC">
      <w:pPr>
        <w:tabs>
          <w:tab w:val="left" w:pos="270"/>
        </w:tabs>
        <w:spacing w:after="0" w:line="240" w:lineRule="auto"/>
        <w:jc w:val="both"/>
        <w:rPr>
          <w:rFonts w:ascii="Times New Roman" w:hAnsi="Times New Roman" w:cs="Times New Roman"/>
          <w:sz w:val="28"/>
          <w:szCs w:val="28"/>
          <w:lang w:val="az-Latn-AZ"/>
        </w:rPr>
      </w:pPr>
      <w:r w:rsidRPr="004E6BDC">
        <w:rPr>
          <w:rFonts w:ascii="Times New Roman" w:hAnsi="Times New Roman" w:cs="Times New Roman"/>
          <w:b/>
          <w:bCs/>
          <w:sz w:val="28"/>
          <w:szCs w:val="28"/>
          <w:lang w:val="az-Latn-AZ"/>
        </w:rPr>
        <w:t xml:space="preserve">The purpose of the lecture: </w:t>
      </w:r>
      <w:r w:rsidR="009543C0" w:rsidRPr="004E6BDC">
        <w:rPr>
          <w:rFonts w:ascii="Times New Roman" w:hAnsi="Times New Roman" w:cs="Times New Roman"/>
          <w:sz w:val="28"/>
          <w:szCs w:val="28"/>
          <w:lang w:val="az-Latn-AZ"/>
        </w:rPr>
        <w:t xml:space="preserve">To teach students the immune response, its types (cellular and humoral) and mechanisms, cooperation of immunocompetent cells in the immune response, information about the immune response. Explain antibodies (immunoglobulins), their nature, structure, basic classes, types and properties. To explain the characteristics of immune phagocytosis, hypersensitivity reactions, immunological memory, immunological tolerance, antibody-dependent and non-dependent cytotoxicity, as well as the </w:t>
      </w:r>
      <w:r w:rsidR="009C6B4C" w:rsidRPr="004E6BDC">
        <w:rPr>
          <w:rFonts w:ascii="Times New Roman" w:hAnsi="Times New Roman" w:cs="Times New Roman"/>
          <w:sz w:val="28"/>
          <w:szCs w:val="28"/>
          <w:lang w:val="az-Latn-AZ"/>
        </w:rPr>
        <w:t>characteristics of the immune response depending on the pathogen.</w:t>
      </w:r>
    </w:p>
    <w:p w14:paraId="592D1E60" w14:textId="77777777" w:rsidR="00081ADE" w:rsidRPr="004E6BDC" w:rsidRDefault="00081ADE" w:rsidP="004E6BDC">
      <w:pPr>
        <w:tabs>
          <w:tab w:val="left" w:pos="270"/>
        </w:tabs>
        <w:spacing w:after="0" w:line="240" w:lineRule="auto"/>
        <w:jc w:val="both"/>
        <w:rPr>
          <w:rFonts w:ascii="Times New Roman" w:hAnsi="Times New Roman" w:cs="Times New Roman"/>
          <w:sz w:val="28"/>
          <w:szCs w:val="28"/>
          <w:lang w:val="az-Latn-AZ"/>
        </w:rPr>
      </w:pPr>
    </w:p>
    <w:p w14:paraId="32F32DCE" w14:textId="77777777" w:rsidR="000A4EBA" w:rsidRPr="004E6BDC" w:rsidRDefault="00081ADE" w:rsidP="004E6BDC">
      <w:pPr>
        <w:spacing w:after="0" w:line="240" w:lineRule="auto"/>
        <w:jc w:val="both"/>
        <w:rPr>
          <w:rFonts w:ascii="Times New Roman" w:hAnsi="Times New Roman" w:cs="Times New Roman"/>
          <w:b/>
          <w:sz w:val="28"/>
          <w:szCs w:val="28"/>
          <w:lang w:val="az-Latn-AZ"/>
        </w:rPr>
      </w:pPr>
      <w:r w:rsidRPr="004E6BDC">
        <w:rPr>
          <w:rFonts w:ascii="Times New Roman" w:hAnsi="Times New Roman" w:cs="Times New Roman"/>
          <w:b/>
          <w:sz w:val="28"/>
          <w:szCs w:val="28"/>
          <w:lang w:val="az-Latn-AZ"/>
        </w:rPr>
        <w:t>Lecture plan</w:t>
      </w:r>
      <w:r w:rsidR="000A4EBA" w:rsidRPr="004E6BDC">
        <w:rPr>
          <w:rFonts w:ascii="Times New Roman" w:hAnsi="Times New Roman" w:cs="Times New Roman"/>
          <w:b/>
          <w:sz w:val="28"/>
          <w:szCs w:val="28"/>
          <w:lang w:val="az-Latn-AZ"/>
        </w:rPr>
        <w:t>:</w:t>
      </w:r>
    </w:p>
    <w:p w14:paraId="36310503" w14:textId="77777777" w:rsidR="00AC4110" w:rsidRPr="004E6BDC" w:rsidRDefault="00AC4110" w:rsidP="004E6BDC">
      <w:pPr>
        <w:spacing w:after="0" w:line="240" w:lineRule="auto"/>
        <w:contextualSpacing/>
        <w:jc w:val="both"/>
        <w:rPr>
          <w:rFonts w:ascii="Times New Roman" w:eastAsiaTheme="minorHAnsi" w:hAnsi="Times New Roman" w:cs="Times New Roman"/>
          <w:sz w:val="28"/>
          <w:szCs w:val="28"/>
          <w:lang w:val="az-Latn-AZ" w:eastAsia="en-US"/>
        </w:rPr>
      </w:pPr>
      <w:r w:rsidRPr="004E6BDC">
        <w:rPr>
          <w:rFonts w:ascii="Times New Roman" w:eastAsiaTheme="minorHAnsi" w:hAnsi="Times New Roman" w:cs="Times New Roman"/>
          <w:sz w:val="28"/>
          <w:szCs w:val="28"/>
          <w:lang w:val="az-Latn-AZ" w:eastAsia="en-US"/>
        </w:rPr>
        <w:t>1. Immune response, its mechanism, types and forms:</w:t>
      </w:r>
    </w:p>
    <w:p w14:paraId="119A2161" w14:textId="77777777" w:rsidR="00AC4110" w:rsidRPr="004E6BDC" w:rsidRDefault="00AC4110" w:rsidP="004E6BDC">
      <w:pPr>
        <w:spacing w:after="0" w:line="240" w:lineRule="auto"/>
        <w:contextualSpacing/>
        <w:jc w:val="both"/>
        <w:rPr>
          <w:rFonts w:ascii="Times New Roman" w:eastAsiaTheme="minorHAnsi" w:hAnsi="Times New Roman" w:cs="Times New Roman"/>
          <w:sz w:val="28"/>
          <w:szCs w:val="28"/>
          <w:lang w:val="az-Latn-AZ" w:eastAsia="en-US"/>
        </w:rPr>
      </w:pPr>
      <w:r w:rsidRPr="004E6BDC">
        <w:rPr>
          <w:rFonts w:ascii="Times New Roman" w:eastAsiaTheme="minorHAnsi" w:hAnsi="Times New Roman" w:cs="Times New Roman"/>
          <w:sz w:val="28"/>
          <w:szCs w:val="28"/>
          <w:lang w:val="az-Latn-AZ" w:eastAsia="en-US"/>
        </w:rPr>
        <w:t>- Cellular immune response and its mechanism. Transmission of information from antigen-presenting cells to T1-helpers and cytotoxic T-lymphocytes, the formation of T-killers, their interaction with target cells. Antibody-dependent and cell-independent cytotoxicity.</w:t>
      </w:r>
    </w:p>
    <w:p w14:paraId="60FF3F2F" w14:textId="77777777" w:rsidR="00AC4110" w:rsidRPr="004E6BDC" w:rsidRDefault="00AC4110" w:rsidP="004E6BDC">
      <w:pPr>
        <w:spacing w:after="0" w:line="240" w:lineRule="auto"/>
        <w:contextualSpacing/>
        <w:jc w:val="both"/>
        <w:rPr>
          <w:rFonts w:ascii="Times New Roman" w:eastAsiaTheme="minorHAnsi" w:hAnsi="Times New Roman" w:cs="Times New Roman"/>
          <w:sz w:val="28"/>
          <w:szCs w:val="28"/>
          <w:lang w:val="az-Latn-AZ" w:eastAsia="en-US"/>
        </w:rPr>
      </w:pPr>
      <w:r w:rsidRPr="004E6BDC">
        <w:rPr>
          <w:rFonts w:ascii="Times New Roman" w:eastAsiaTheme="minorHAnsi" w:hAnsi="Times New Roman" w:cs="Times New Roman"/>
          <w:sz w:val="28"/>
          <w:szCs w:val="28"/>
          <w:lang w:val="az-Latn-AZ" w:eastAsia="en-US"/>
        </w:rPr>
        <w:t>- Humoral immune response and its mechanism. Transfer of information from antigen-presenting cells to T2-helpers and B-lymphocytes, formation of plasma cells, synthesis of specific antibodies.</w:t>
      </w:r>
    </w:p>
    <w:p w14:paraId="3B27C9B6" w14:textId="77777777" w:rsidR="00AC4110" w:rsidRPr="004E6BDC" w:rsidRDefault="00AC4110" w:rsidP="004E6BDC">
      <w:pPr>
        <w:spacing w:after="0" w:line="240" w:lineRule="auto"/>
        <w:contextualSpacing/>
        <w:jc w:val="both"/>
        <w:rPr>
          <w:rFonts w:ascii="Times New Roman" w:eastAsiaTheme="minorHAnsi" w:hAnsi="Times New Roman" w:cs="Times New Roman"/>
          <w:sz w:val="28"/>
          <w:szCs w:val="28"/>
          <w:lang w:val="az-Latn-AZ" w:eastAsia="en-US"/>
        </w:rPr>
      </w:pPr>
      <w:r w:rsidRPr="004E6BDC">
        <w:rPr>
          <w:rFonts w:ascii="Times New Roman" w:eastAsiaTheme="minorHAnsi" w:hAnsi="Times New Roman" w:cs="Times New Roman"/>
          <w:sz w:val="28"/>
          <w:szCs w:val="28"/>
          <w:lang w:val="az-Latn-AZ" w:eastAsia="en-US"/>
        </w:rPr>
        <w:t>2. Antibodies (immunoglobulins), nature and molecular structure. Classes of immunoglobulins,</w:t>
      </w:r>
    </w:p>
    <w:p w14:paraId="00722A94" w14:textId="77777777" w:rsidR="00AC4110" w:rsidRPr="004E6BDC" w:rsidRDefault="00AC4110" w:rsidP="004E6BDC">
      <w:pPr>
        <w:spacing w:after="0" w:line="240" w:lineRule="auto"/>
        <w:contextualSpacing/>
        <w:jc w:val="both"/>
        <w:rPr>
          <w:rFonts w:ascii="Times New Roman" w:eastAsiaTheme="minorHAnsi" w:hAnsi="Times New Roman" w:cs="Times New Roman"/>
          <w:sz w:val="28"/>
          <w:szCs w:val="28"/>
          <w:lang w:val="az-Latn-AZ" w:eastAsia="en-US"/>
        </w:rPr>
      </w:pPr>
      <w:r w:rsidRPr="004E6BDC">
        <w:rPr>
          <w:rFonts w:ascii="Times New Roman" w:eastAsiaTheme="minorHAnsi" w:hAnsi="Times New Roman" w:cs="Times New Roman"/>
          <w:sz w:val="28"/>
          <w:szCs w:val="28"/>
          <w:lang w:val="az-Latn-AZ" w:eastAsia="en-US"/>
        </w:rPr>
        <w:t xml:space="preserve">  structures and basic functions; types of antibodies (receptor, normal, monoclonal, complete and incomplete antibodies) and their characteristics. Dynamics of antibody formation.</w:t>
      </w:r>
    </w:p>
    <w:p w14:paraId="36D832FA" w14:textId="77777777" w:rsidR="00AC4110" w:rsidRPr="004E6BDC" w:rsidRDefault="00AC4110" w:rsidP="004E6BDC">
      <w:pPr>
        <w:spacing w:after="0" w:line="240" w:lineRule="auto"/>
        <w:contextualSpacing/>
        <w:jc w:val="both"/>
        <w:rPr>
          <w:rFonts w:ascii="Times New Roman" w:eastAsiaTheme="minorHAnsi" w:hAnsi="Times New Roman" w:cs="Times New Roman"/>
          <w:sz w:val="28"/>
          <w:szCs w:val="28"/>
          <w:lang w:val="az-Latn-AZ" w:eastAsia="en-US"/>
        </w:rPr>
      </w:pPr>
      <w:r w:rsidRPr="004E6BDC">
        <w:rPr>
          <w:rFonts w:ascii="Times New Roman" w:eastAsiaTheme="minorHAnsi" w:hAnsi="Times New Roman" w:cs="Times New Roman"/>
          <w:sz w:val="28"/>
          <w:szCs w:val="28"/>
          <w:lang w:val="az-Latn-AZ" w:eastAsia="en-US"/>
        </w:rPr>
        <w:t>3. Immune phagocytosis, hypersensitivity reactions, immunological memory, immunological tolerance, antibody-dependent and independent cytotoxicity.</w:t>
      </w:r>
    </w:p>
    <w:p w14:paraId="1F28780A" w14:textId="77777777" w:rsidR="000A4EBA" w:rsidRPr="004E6BDC" w:rsidRDefault="00AC4110" w:rsidP="004E6BDC">
      <w:pPr>
        <w:spacing w:after="0" w:line="240" w:lineRule="auto"/>
        <w:contextualSpacing/>
        <w:jc w:val="both"/>
        <w:rPr>
          <w:rFonts w:ascii="Times New Roman" w:eastAsiaTheme="minorHAnsi" w:hAnsi="Times New Roman" w:cs="Times New Roman"/>
          <w:sz w:val="28"/>
          <w:szCs w:val="28"/>
          <w:lang w:val="az-Latn-AZ" w:eastAsia="en-US"/>
        </w:rPr>
      </w:pPr>
      <w:r w:rsidRPr="004E6BDC">
        <w:rPr>
          <w:rFonts w:ascii="Times New Roman" w:eastAsiaTheme="minorHAnsi" w:hAnsi="Times New Roman" w:cs="Times New Roman"/>
          <w:sz w:val="28"/>
          <w:szCs w:val="28"/>
          <w:lang w:val="az-Latn-AZ" w:eastAsia="en-US"/>
        </w:rPr>
        <w:t>4. Characteristics of the immune response depending on the pathogen</w:t>
      </w:r>
    </w:p>
    <w:p w14:paraId="6E91E70E" w14:textId="77777777" w:rsidR="00AC4110" w:rsidRPr="004E6BDC" w:rsidRDefault="00AC4110" w:rsidP="004E6BDC">
      <w:pPr>
        <w:spacing w:after="0" w:line="240" w:lineRule="auto"/>
        <w:contextualSpacing/>
        <w:jc w:val="both"/>
        <w:rPr>
          <w:rFonts w:ascii="Times New Roman" w:eastAsiaTheme="minorHAnsi" w:hAnsi="Times New Roman" w:cs="Times New Roman"/>
          <w:sz w:val="28"/>
          <w:szCs w:val="28"/>
          <w:lang w:val="az-Latn-AZ" w:eastAsia="en-US"/>
        </w:rPr>
      </w:pPr>
    </w:p>
    <w:p w14:paraId="6E59F29A" w14:textId="77777777" w:rsidR="00AC4110" w:rsidRDefault="00AC4110" w:rsidP="004E6BDC">
      <w:pPr>
        <w:spacing w:after="0" w:line="240" w:lineRule="auto"/>
        <w:contextualSpacing/>
        <w:jc w:val="both"/>
        <w:rPr>
          <w:rFonts w:ascii="Times New Roman" w:eastAsiaTheme="minorHAnsi" w:hAnsi="Times New Roman" w:cs="Times New Roman"/>
          <w:sz w:val="28"/>
          <w:szCs w:val="28"/>
          <w:lang w:val="az-Latn-AZ" w:eastAsia="en-US"/>
        </w:rPr>
      </w:pPr>
    </w:p>
    <w:p w14:paraId="6BA5B52A"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31FC7F46"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53421D74"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44A8F2B1"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7F6955D8"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6FF350AE"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79213A88"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510C3697"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2E9AB3CF"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53B96D37"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090731B0"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3A99CCAE"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0059996F" w14:textId="77777777" w:rsidR="004321E1"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6485B7B6" w14:textId="77777777" w:rsidR="004321E1" w:rsidRPr="004E6BDC" w:rsidRDefault="004321E1" w:rsidP="004E6BDC">
      <w:pPr>
        <w:spacing w:after="0" w:line="240" w:lineRule="auto"/>
        <w:contextualSpacing/>
        <w:jc w:val="both"/>
        <w:rPr>
          <w:rFonts w:ascii="Times New Roman" w:eastAsiaTheme="minorHAnsi" w:hAnsi="Times New Roman" w:cs="Times New Roman"/>
          <w:sz w:val="28"/>
          <w:szCs w:val="28"/>
          <w:lang w:val="az-Latn-AZ" w:eastAsia="en-US"/>
        </w:rPr>
      </w:pPr>
    </w:p>
    <w:p w14:paraId="5C3A7621" w14:textId="42786F00" w:rsidR="002B493C" w:rsidRPr="004E6BDC" w:rsidRDefault="008A390C"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hAnsi="Times New Roman" w:cs="Times New Roman"/>
          <w:b/>
          <w:sz w:val="28"/>
          <w:szCs w:val="28"/>
          <w:lang w:val="az-Latn-AZ"/>
        </w:rPr>
        <w:lastRenderedPageBreak/>
        <w:t xml:space="preserve"> </w:t>
      </w:r>
      <w:r w:rsidR="002B493C" w:rsidRPr="004E6BDC">
        <w:rPr>
          <w:rFonts w:ascii="Times New Roman" w:eastAsiaTheme="minorHAnsi" w:hAnsi="Times New Roman" w:cs="Times New Roman"/>
          <w:sz w:val="28"/>
          <w:szCs w:val="28"/>
          <w:lang w:val="en-US" w:eastAsia="en-US"/>
        </w:rPr>
        <w:t>Human beings have four basic lines of protection against</w:t>
      </w:r>
      <w:r w:rsidR="004E6BDC" w:rsidRPr="004E6BDC">
        <w:rPr>
          <w:rFonts w:ascii="Times New Roman" w:eastAsiaTheme="minorHAnsi" w:hAnsi="Times New Roman" w:cs="Times New Roman"/>
          <w:sz w:val="28"/>
          <w:szCs w:val="28"/>
          <w:lang w:val="en-US" w:eastAsia="en-US"/>
        </w:rPr>
        <w:t xml:space="preserve"> </w:t>
      </w:r>
      <w:r w:rsidR="002B493C" w:rsidRPr="004E6BDC">
        <w:rPr>
          <w:rFonts w:ascii="Times New Roman" w:eastAsiaTheme="minorHAnsi" w:hAnsi="Times New Roman" w:cs="Times New Roman"/>
          <w:sz w:val="28"/>
          <w:szCs w:val="28"/>
          <w:lang w:val="en-US" w:eastAsia="en-US"/>
        </w:rPr>
        <w:t>inappropriate microbial infection:</w:t>
      </w:r>
    </w:p>
    <w:p w14:paraId="31684016" w14:textId="40EF3888" w:rsidR="002B493C" w:rsidRPr="004E6BDC" w:rsidRDefault="002B493C"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 xml:space="preserve">1. </w:t>
      </w:r>
      <w:r w:rsidRPr="004E6BDC">
        <w:rPr>
          <w:rFonts w:ascii="Times New Roman" w:eastAsiaTheme="minorHAnsi" w:hAnsi="Times New Roman" w:cs="Times New Roman"/>
          <w:b/>
          <w:bCs/>
          <w:sz w:val="28"/>
          <w:szCs w:val="28"/>
          <w:lang w:val="en-US" w:eastAsia="en-US"/>
        </w:rPr>
        <w:t xml:space="preserve">Natural barriers </w:t>
      </w:r>
      <w:r w:rsidRPr="004E6BDC">
        <w:rPr>
          <w:rFonts w:ascii="Times New Roman" w:eastAsiaTheme="minorHAnsi" w:hAnsi="Times New Roman" w:cs="Times New Roman"/>
          <w:sz w:val="28"/>
          <w:szCs w:val="28"/>
          <w:lang w:val="en-US" w:eastAsia="en-US"/>
        </w:rPr>
        <w:t>such as skin, mucus, ciliated epithelium,</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gastric acid, and bile restrict entry of the agent.</w:t>
      </w:r>
    </w:p>
    <w:p w14:paraId="076F580C" w14:textId="77777777" w:rsidR="002B493C" w:rsidRPr="004E6BDC" w:rsidRDefault="002B493C"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 xml:space="preserve">2. </w:t>
      </w:r>
      <w:r w:rsidRPr="004E6BDC">
        <w:rPr>
          <w:rFonts w:ascii="Times New Roman" w:eastAsiaTheme="minorHAnsi" w:hAnsi="Times New Roman" w:cs="Times New Roman"/>
          <w:b/>
          <w:bCs/>
          <w:sz w:val="28"/>
          <w:szCs w:val="28"/>
          <w:lang w:val="en-US" w:eastAsia="en-US"/>
        </w:rPr>
        <w:t xml:space="preserve">Competition </w:t>
      </w:r>
      <w:r w:rsidRPr="004E6BDC">
        <w:rPr>
          <w:rFonts w:ascii="Times New Roman" w:eastAsiaTheme="minorHAnsi" w:hAnsi="Times New Roman" w:cs="Times New Roman"/>
          <w:sz w:val="28"/>
          <w:szCs w:val="28"/>
          <w:lang w:val="en-US" w:eastAsia="en-US"/>
        </w:rPr>
        <w:t>with normal flora.</w:t>
      </w:r>
    </w:p>
    <w:p w14:paraId="508B9069" w14:textId="3071ACE8" w:rsidR="002B493C" w:rsidRPr="004E6BDC" w:rsidRDefault="002B493C"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 xml:space="preserve">3. </w:t>
      </w:r>
      <w:r w:rsidRPr="004E6BDC">
        <w:rPr>
          <w:rFonts w:ascii="Times New Roman" w:eastAsiaTheme="minorHAnsi" w:hAnsi="Times New Roman" w:cs="Times New Roman"/>
          <w:b/>
          <w:bCs/>
          <w:sz w:val="28"/>
          <w:szCs w:val="28"/>
          <w:lang w:val="en-US" w:eastAsia="en-US"/>
        </w:rPr>
        <w:t xml:space="preserve">Innate antigen-nonspecific immune defenses </w:t>
      </w:r>
      <w:r w:rsidRPr="004E6BDC">
        <w:rPr>
          <w:rFonts w:ascii="Times New Roman" w:eastAsiaTheme="minorHAnsi" w:hAnsi="Times New Roman" w:cs="Times New Roman"/>
          <w:sz w:val="28"/>
          <w:szCs w:val="28"/>
          <w:lang w:val="en-US" w:eastAsia="en-US"/>
        </w:rPr>
        <w:t>such</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as fever, antimicrobial peptides, interferon, complement,</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neutrophils, macrophages, dendritic cells (DCs),</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innate lymphoid cells (including natural killer [NK]</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cells), and innate T cells (mucosal-associated invariant</w:t>
      </w:r>
    </w:p>
    <w:p w14:paraId="5AE58E34" w14:textId="7830802A" w:rsidR="002B493C" w:rsidRPr="004E6BDC" w:rsidRDefault="002B493C"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T cell [MAIT], NK T cell [NKT], T cells) and B-1 B cells</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provide continuous or rapid local responses at body surfaces</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and at the infection site to restrict the growth and</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spread of the agent.</w:t>
      </w:r>
    </w:p>
    <w:p w14:paraId="6BFBCEB9" w14:textId="226028AA" w:rsidR="003238CF" w:rsidRPr="004E6BDC" w:rsidRDefault="002B493C"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 xml:space="preserve">4. </w:t>
      </w:r>
      <w:r w:rsidRPr="004E6BDC">
        <w:rPr>
          <w:rFonts w:ascii="Times New Roman" w:eastAsiaTheme="minorHAnsi" w:hAnsi="Times New Roman" w:cs="Times New Roman"/>
          <w:b/>
          <w:bCs/>
          <w:sz w:val="28"/>
          <w:szCs w:val="28"/>
          <w:lang w:val="en-US" w:eastAsia="en-US"/>
        </w:rPr>
        <w:t xml:space="preserve">Adaptive antigen-specific immune responses </w:t>
      </w:r>
      <w:r w:rsidRPr="004E6BDC">
        <w:rPr>
          <w:rFonts w:ascii="Times New Roman" w:eastAsiaTheme="minorHAnsi" w:hAnsi="Times New Roman" w:cs="Times New Roman"/>
          <w:sz w:val="28"/>
          <w:szCs w:val="28"/>
          <w:lang w:val="en-US" w:eastAsia="en-US"/>
        </w:rPr>
        <w:t>such</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as antibody and T cells reinforce the innate protections;</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specifically they target, attack, and eliminate the invaders</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that succeed in passing the first two defenses, as well</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as the infected cells; and they remember the pathogen for future challenges.</w:t>
      </w:r>
    </w:p>
    <w:p w14:paraId="5E060F04"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Antimicrobial Actions of Antibodies</w:t>
      </w:r>
    </w:p>
    <w:p w14:paraId="297B0637"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Opsonize: promote ingestion and killing by phagocytic cells (IgG)</w:t>
      </w:r>
    </w:p>
    <w:p w14:paraId="6FAA25D3"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 xml:space="preserve">Neutralize: block attachment of bacteria </w:t>
      </w:r>
      <w:proofErr w:type="spellStart"/>
      <w:r w:rsidRPr="004E6BDC">
        <w:rPr>
          <w:rFonts w:ascii="Times New Roman" w:eastAsiaTheme="minorHAnsi" w:hAnsi="Times New Roman" w:cs="Times New Roman"/>
          <w:sz w:val="28"/>
          <w:szCs w:val="28"/>
          <w:lang w:val="en-US" w:eastAsia="en-US"/>
        </w:rPr>
        <w:t>bacteria</w:t>
      </w:r>
      <w:proofErr w:type="spellEnd"/>
      <w:r w:rsidRPr="004E6BDC">
        <w:rPr>
          <w:rFonts w:ascii="Times New Roman" w:eastAsiaTheme="minorHAnsi" w:hAnsi="Times New Roman" w:cs="Times New Roman"/>
          <w:sz w:val="28"/>
          <w:szCs w:val="28"/>
          <w:lang w:val="en-US" w:eastAsia="en-US"/>
        </w:rPr>
        <w:t>, toxins, and viruses</w:t>
      </w:r>
    </w:p>
    <w:p w14:paraId="6D79F22E"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Agglutinate bacteria: aids in clearing</w:t>
      </w:r>
    </w:p>
    <w:p w14:paraId="7A4CC984"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Render motile organisms nonmotile</w:t>
      </w:r>
    </w:p>
    <w:p w14:paraId="6EDBC210"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 xml:space="preserve">Combine with antigens on the microbial surface and activate the complement cascade, thus inducing an inflammatory response, bringing fresh phagocytes and serum antibodies into the site Combine with antigens on the microbial surface, activate the complement cascade, and anchor the membrane attack complex </w:t>
      </w:r>
    </w:p>
    <w:p w14:paraId="78DCCB9C" w14:textId="77777777" w:rsidR="004E6BDC" w:rsidRPr="004E6BDC" w:rsidRDefault="004E6BDC"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36E26936" w14:textId="77777777" w:rsidR="00EF525B"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Comparative structures of the immunoglobulin (Ig) classes and subclasses in humans. IgA and IgM are held together in multimers by the J chain. IgA can acquire the secretory component for the traversal of epithelial cells.</w:t>
      </w:r>
    </w:p>
    <w:p w14:paraId="4AECB6FD" w14:textId="77777777" w:rsidR="004321E1" w:rsidRPr="004E6BDC" w:rsidRDefault="004321E1"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p>
    <w:p w14:paraId="26EAFBB5"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drawing>
          <wp:inline distT="0" distB="0" distL="0" distR="0" wp14:anchorId="4F65AA30" wp14:editId="0A3EE110">
            <wp:extent cx="4769095" cy="2159111"/>
            <wp:effectExtent l="0" t="0" r="0" b="0"/>
            <wp:docPr id="154978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82803" name=""/>
                    <pic:cNvPicPr/>
                  </pic:nvPicPr>
                  <pic:blipFill>
                    <a:blip r:embed="rId8"/>
                    <a:stretch>
                      <a:fillRect/>
                    </a:stretch>
                  </pic:blipFill>
                  <pic:spPr>
                    <a:xfrm>
                      <a:off x="0" y="0"/>
                      <a:ext cx="4769095" cy="2159111"/>
                    </a:xfrm>
                    <a:prstGeom prst="rect">
                      <a:avLst/>
                    </a:prstGeom>
                  </pic:spPr>
                </pic:pic>
              </a:graphicData>
            </a:graphic>
          </wp:inline>
        </w:drawing>
      </w:r>
    </w:p>
    <w:p w14:paraId="64BCE051" w14:textId="77777777" w:rsidR="004321E1" w:rsidRDefault="004321E1" w:rsidP="004E6BDC">
      <w:pPr>
        <w:autoSpaceDE w:val="0"/>
        <w:autoSpaceDN w:val="0"/>
        <w:adjustRightInd w:val="0"/>
        <w:spacing w:after="0" w:line="240" w:lineRule="auto"/>
        <w:rPr>
          <w:rFonts w:ascii="Times New Roman" w:eastAsiaTheme="minorHAnsi" w:hAnsi="Times New Roman" w:cs="Times New Roman"/>
          <w:b/>
          <w:bCs/>
          <w:i/>
          <w:iCs/>
          <w:sz w:val="28"/>
          <w:szCs w:val="28"/>
          <w:lang w:eastAsia="en-US"/>
        </w:rPr>
      </w:pPr>
    </w:p>
    <w:p w14:paraId="3616E4C5" w14:textId="7634DADA" w:rsidR="00EF525B" w:rsidRPr="004321E1"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321E1">
        <w:rPr>
          <w:rFonts w:ascii="Times New Roman" w:eastAsiaTheme="minorHAnsi" w:hAnsi="Times New Roman" w:cs="Times New Roman"/>
          <w:b/>
          <w:bCs/>
          <w:i/>
          <w:iCs/>
          <w:sz w:val="28"/>
          <w:szCs w:val="28"/>
          <w:lang w:val="en-US" w:eastAsia="en-US"/>
        </w:rPr>
        <w:t>Properties and Functions of Immunoglobulins</w:t>
      </w:r>
    </w:p>
    <w:p w14:paraId="27533B80"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lastRenderedPageBreak/>
        <w:drawing>
          <wp:inline distT="0" distB="0" distL="0" distR="0" wp14:anchorId="294CCC53" wp14:editId="2A12F001">
            <wp:extent cx="5441950" cy="2727899"/>
            <wp:effectExtent l="0" t="0" r="6350" b="0"/>
            <wp:docPr id="51154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43414" name=""/>
                    <pic:cNvPicPr/>
                  </pic:nvPicPr>
                  <pic:blipFill>
                    <a:blip r:embed="rId9"/>
                    <a:stretch>
                      <a:fillRect/>
                    </a:stretch>
                  </pic:blipFill>
                  <pic:spPr>
                    <a:xfrm>
                      <a:off x="0" y="0"/>
                      <a:ext cx="5476254" cy="2745095"/>
                    </a:xfrm>
                    <a:prstGeom prst="rect">
                      <a:avLst/>
                    </a:prstGeom>
                  </pic:spPr>
                </pic:pic>
              </a:graphicData>
            </a:graphic>
          </wp:inline>
        </w:drawing>
      </w:r>
    </w:p>
    <w:p w14:paraId="3F1E607C"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5ED7F377" w14:textId="6D0218EB" w:rsidR="004E6BDC" w:rsidRDefault="004E6BDC" w:rsidP="004321E1">
      <w:pPr>
        <w:tabs>
          <w:tab w:val="left" w:pos="8780"/>
        </w:tabs>
        <w:autoSpaceDE w:val="0"/>
        <w:autoSpaceDN w:val="0"/>
        <w:adjustRightInd w:val="0"/>
        <w:spacing w:after="0" w:line="240" w:lineRule="auto"/>
        <w:rPr>
          <w:rFonts w:ascii="Times New Roman" w:eastAsiaTheme="minorHAnsi" w:hAnsi="Times New Roman" w:cs="Times New Roman"/>
          <w:b/>
          <w:bCs/>
          <w:i/>
          <w:iCs/>
          <w:sz w:val="28"/>
          <w:szCs w:val="28"/>
          <w:lang w:eastAsia="en-US"/>
        </w:rPr>
      </w:pPr>
    </w:p>
    <w:p w14:paraId="0B685DBA" w14:textId="0D686BA1"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Fc Interactions with Immune Components</w:t>
      </w:r>
    </w:p>
    <w:p w14:paraId="3DE05288"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drawing>
          <wp:inline distT="0" distB="0" distL="0" distR="0" wp14:anchorId="05FE6B85" wp14:editId="253301F6">
            <wp:extent cx="3714750" cy="3030703"/>
            <wp:effectExtent l="0" t="0" r="0" b="0"/>
            <wp:docPr id="38454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46176" name=""/>
                    <pic:cNvPicPr/>
                  </pic:nvPicPr>
                  <pic:blipFill>
                    <a:blip r:embed="rId10"/>
                    <a:stretch>
                      <a:fillRect/>
                    </a:stretch>
                  </pic:blipFill>
                  <pic:spPr>
                    <a:xfrm>
                      <a:off x="0" y="0"/>
                      <a:ext cx="3731665" cy="3044503"/>
                    </a:xfrm>
                    <a:prstGeom prst="rect">
                      <a:avLst/>
                    </a:prstGeom>
                  </pic:spPr>
                </pic:pic>
              </a:graphicData>
            </a:graphic>
          </wp:inline>
        </w:drawing>
      </w:r>
    </w:p>
    <w:p w14:paraId="61CAFA74"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473D70A2" w14:textId="7A95ABD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b/>
          <w:bCs/>
          <w:i/>
          <w:iCs/>
          <w:sz w:val="28"/>
          <w:szCs w:val="28"/>
          <w:lang w:val="en-US" w:eastAsia="en-US"/>
        </w:rPr>
        <w:t>Proteolytic digestion of immunoglobulin (Ig)G. Pepsin treatment produces a dimeric F(ab</w:t>
      </w:r>
      <w:r w:rsidRPr="004E6BDC">
        <w:rPr>
          <w:rFonts w:ascii="Times New Roman" w:eastAsia="TnQ" w:hAnsi="Times New Roman" w:cs="Times New Roman"/>
          <w:b/>
          <w:bCs/>
          <w:i/>
          <w:iCs/>
          <w:sz w:val="28"/>
          <w:szCs w:val="28"/>
          <w:lang w:val="en-US" w:eastAsia="en-US"/>
        </w:rPr>
        <w:t>′</w:t>
      </w:r>
      <w:r w:rsidRPr="004E6BDC">
        <w:rPr>
          <w:rFonts w:ascii="Times New Roman" w:eastAsiaTheme="minorHAnsi" w:hAnsi="Times New Roman" w:cs="Times New Roman"/>
          <w:b/>
          <w:bCs/>
          <w:i/>
          <w:iCs/>
          <w:sz w:val="28"/>
          <w:szCs w:val="28"/>
          <w:lang w:val="en-US" w:eastAsia="en-US"/>
        </w:rPr>
        <w:t>)2 fragment. Papain treatment produces monovalent</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Fab fragments and an Fc fragment. The F(ab</w:t>
      </w:r>
      <w:r w:rsidRPr="004E6BDC">
        <w:rPr>
          <w:rFonts w:ascii="Times New Roman" w:eastAsia="TnQ" w:hAnsi="Times New Roman" w:cs="Times New Roman"/>
          <w:b/>
          <w:bCs/>
          <w:i/>
          <w:iCs/>
          <w:sz w:val="28"/>
          <w:szCs w:val="28"/>
          <w:lang w:val="en-US" w:eastAsia="en-US"/>
        </w:rPr>
        <w:t>′</w:t>
      </w:r>
      <w:r w:rsidRPr="004E6BDC">
        <w:rPr>
          <w:rFonts w:ascii="Times New Roman" w:eastAsiaTheme="minorHAnsi" w:hAnsi="Times New Roman" w:cs="Times New Roman"/>
          <w:b/>
          <w:bCs/>
          <w:i/>
          <w:iCs/>
          <w:sz w:val="28"/>
          <w:szCs w:val="28"/>
          <w:lang w:val="en-US" w:eastAsia="en-US"/>
        </w:rPr>
        <w:t>)2 and the Fab fragments bind antigen but lack a functional Fc region. The heavy chain is depicted in</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blue; the light chain in orange. mol. wt., Molecular weight</w:t>
      </w:r>
      <w:r w:rsidRPr="004E6BDC">
        <w:rPr>
          <w:rFonts w:ascii="Times New Roman" w:eastAsiaTheme="minorHAnsi" w:hAnsi="Times New Roman" w:cs="Times New Roman"/>
          <w:sz w:val="28"/>
          <w:szCs w:val="28"/>
          <w:lang w:val="en-US" w:eastAsia="en-US"/>
        </w:rPr>
        <w:t>.</w:t>
      </w:r>
    </w:p>
    <w:p w14:paraId="1B16CB00"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drawing>
          <wp:inline distT="0" distB="0" distL="0" distR="0" wp14:anchorId="2EF73A08" wp14:editId="5D7A0944">
            <wp:extent cx="5124713" cy="2324219"/>
            <wp:effectExtent l="0" t="0" r="0" b="0"/>
            <wp:docPr id="168510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09658" name=""/>
                    <pic:cNvPicPr/>
                  </pic:nvPicPr>
                  <pic:blipFill>
                    <a:blip r:embed="rId11"/>
                    <a:stretch>
                      <a:fillRect/>
                    </a:stretch>
                  </pic:blipFill>
                  <pic:spPr>
                    <a:xfrm>
                      <a:off x="0" y="0"/>
                      <a:ext cx="5124713" cy="2324219"/>
                    </a:xfrm>
                    <a:prstGeom prst="rect">
                      <a:avLst/>
                    </a:prstGeom>
                  </pic:spPr>
                </pic:pic>
              </a:graphicData>
            </a:graphic>
          </wp:inline>
        </w:drawing>
      </w:r>
    </w:p>
    <w:p w14:paraId="547671CD"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5EF8A528"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b/>
          <w:bCs/>
          <w:i/>
          <w:iCs/>
          <w:sz w:val="28"/>
          <w:szCs w:val="28"/>
          <w:lang w:val="en-US" w:eastAsia="en-US"/>
        </w:rPr>
        <w:t xml:space="preserve">Immunoglobulin class switching. T-cell help induces differentiation of the B cell and promotes genetic recombination, somatic mutation, and immunoglobulin class switching. Switch regions in front of the constant-region genes (including IgG and IgA subclasses) allow attachment of the preformed VDJ region to other heavy-chain constant- region genes, genetically removing the </w:t>
      </w:r>
      <w:r w:rsidRPr="004E6BDC">
        <w:rPr>
          <w:rFonts w:ascii="Times New Roman" w:eastAsia="TnQ" w:hAnsi="Times New Roman" w:cs="Times New Roman"/>
          <w:b/>
          <w:bCs/>
          <w:i/>
          <w:iCs/>
          <w:sz w:val="28"/>
          <w:szCs w:val="28"/>
          <w:lang w:eastAsia="en-US"/>
        </w:rPr>
        <w:t>μ</w:t>
      </w:r>
      <w:r w:rsidRPr="004E6BDC">
        <w:rPr>
          <w:rFonts w:ascii="Times New Roman" w:eastAsiaTheme="minorHAnsi" w:hAnsi="Times New Roman" w:cs="Times New Roman"/>
          <w:b/>
          <w:bCs/>
          <w:i/>
          <w:iCs/>
          <w:sz w:val="28"/>
          <w:szCs w:val="28"/>
          <w:lang w:val="en-US" w:eastAsia="en-US"/>
        </w:rPr>
        <w:t>, _, and other intervening genes. This produces an immunoglobulin gene with the same VDJ region (except for somatic mutation) and the desired antigen specificity but with different Fc-determined functions</w:t>
      </w:r>
      <w:r w:rsidRPr="004E6BDC">
        <w:rPr>
          <w:rFonts w:ascii="Times New Roman" w:eastAsiaTheme="minorHAnsi" w:hAnsi="Times New Roman" w:cs="Times New Roman"/>
          <w:sz w:val="28"/>
          <w:szCs w:val="28"/>
          <w:lang w:val="en-US" w:eastAsia="en-US"/>
        </w:rPr>
        <w:t>.</w:t>
      </w:r>
    </w:p>
    <w:p w14:paraId="03E4C7A7"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noProof/>
          <w:sz w:val="28"/>
          <w:szCs w:val="28"/>
          <w:lang w:val="en-US" w:eastAsia="en-US"/>
        </w:rPr>
        <w:drawing>
          <wp:inline distT="0" distB="0" distL="0" distR="0" wp14:anchorId="2DC27023" wp14:editId="2E127DFF">
            <wp:extent cx="3357068" cy="2609850"/>
            <wp:effectExtent l="0" t="0" r="0" b="0"/>
            <wp:docPr id="13539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4570" name=""/>
                    <pic:cNvPicPr/>
                  </pic:nvPicPr>
                  <pic:blipFill>
                    <a:blip r:embed="rId12"/>
                    <a:stretch>
                      <a:fillRect/>
                    </a:stretch>
                  </pic:blipFill>
                  <pic:spPr>
                    <a:xfrm>
                      <a:off x="0" y="0"/>
                      <a:ext cx="3377558" cy="2625779"/>
                    </a:xfrm>
                    <a:prstGeom prst="rect">
                      <a:avLst/>
                    </a:prstGeom>
                  </pic:spPr>
                </pic:pic>
              </a:graphicData>
            </a:graphic>
          </wp:inline>
        </w:drawing>
      </w:r>
    </w:p>
    <w:p w14:paraId="7ACBF628"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7DAF47FA"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478A746B" w14:textId="371D1549"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eastAsiaTheme="minorHAnsi" w:hAnsi="Times New Roman" w:cs="Times New Roman"/>
          <w:b/>
          <w:bCs/>
          <w:i/>
          <w:iCs/>
          <w:sz w:val="28"/>
          <w:szCs w:val="28"/>
          <w:lang w:val="en-US" w:eastAsia="en-US"/>
        </w:rPr>
        <w:t>T-cell help determines the nature of the immune response. Receptor-ligand interactions between T cells and B cells and cytokines associated</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with TH1 or TH2 determine the subsequent response. TH1 responses are initiated by interleukin (IL)-12 and delivered by interferon-_ (IFN-_) and IL-2</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to promote cell-mediated and immunoglobulin (Ig)G production (solid blue lines) and inhibit TH2 responses (dotted blue lines). IL-4 and IL-5 from TH2</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cells promote humoral responses (solid red lines), and IL-4 and IL-10 inhibit TH1 responses (dotted red lines). Mucosal epithelium promotes secretory IgA</w:t>
      </w:r>
      <w:r w:rsidR="004E6BDC" w:rsidRPr="004321E1">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 xml:space="preserve">production. Colored boxes denote end results. </w:t>
      </w:r>
      <w:r w:rsidRPr="004E6BDC">
        <w:rPr>
          <w:rFonts w:ascii="Times New Roman" w:eastAsia="TnQ" w:hAnsi="Times New Roman" w:cs="Times New Roman"/>
          <w:b/>
          <w:bCs/>
          <w:i/>
          <w:iCs/>
          <w:sz w:val="28"/>
          <w:szCs w:val="28"/>
          <w:lang w:val="en-US" w:eastAsia="en-US"/>
        </w:rPr>
        <w:t>↑</w:t>
      </w:r>
      <w:r w:rsidRPr="004E6BDC">
        <w:rPr>
          <w:rFonts w:ascii="Times New Roman" w:eastAsiaTheme="minorHAnsi" w:hAnsi="Times New Roman" w:cs="Times New Roman"/>
          <w:b/>
          <w:bCs/>
          <w:i/>
          <w:iCs/>
          <w:sz w:val="28"/>
          <w:szCs w:val="28"/>
          <w:lang w:val="en-US" w:eastAsia="en-US"/>
        </w:rPr>
        <w:t xml:space="preserve">, Increase; </w:t>
      </w:r>
      <w:r w:rsidRPr="004E6BDC">
        <w:rPr>
          <w:rFonts w:ascii="Times New Roman" w:eastAsia="TnQ" w:hAnsi="Times New Roman" w:cs="Times New Roman"/>
          <w:b/>
          <w:bCs/>
          <w:i/>
          <w:iCs/>
          <w:sz w:val="28"/>
          <w:szCs w:val="28"/>
          <w:lang w:val="en-US" w:eastAsia="en-US"/>
        </w:rPr>
        <w:t>↓</w:t>
      </w:r>
      <w:r w:rsidRPr="004E6BDC">
        <w:rPr>
          <w:rFonts w:ascii="Times New Roman" w:eastAsiaTheme="minorHAnsi" w:hAnsi="Times New Roman" w:cs="Times New Roman"/>
          <w:b/>
          <w:bCs/>
          <w:i/>
          <w:iCs/>
          <w:sz w:val="28"/>
          <w:szCs w:val="28"/>
          <w:lang w:val="en-US" w:eastAsia="en-US"/>
        </w:rPr>
        <w:t>, decrease; ADCC, antibody-dependent cellular cytotoxicity; APC, antigen-presenting cell;</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CTL, cytotoxic T lymphocyte; DCs, dendritic cells; DTH, delayed type hypersensitivity; GM-CSF, granulocyte-macrophage colony-stimulating factor; TNF,</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tumor necrosis factor.</w:t>
      </w:r>
    </w:p>
    <w:p w14:paraId="25A10A89"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lastRenderedPageBreak/>
        <w:drawing>
          <wp:inline distT="0" distB="0" distL="0" distR="0" wp14:anchorId="29798E73" wp14:editId="180C679B">
            <wp:extent cx="4222750" cy="3769754"/>
            <wp:effectExtent l="0" t="0" r="6350" b="2540"/>
            <wp:docPr id="135122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22134" name=""/>
                    <pic:cNvPicPr/>
                  </pic:nvPicPr>
                  <pic:blipFill>
                    <a:blip r:embed="rId13"/>
                    <a:stretch>
                      <a:fillRect/>
                    </a:stretch>
                  </pic:blipFill>
                  <pic:spPr>
                    <a:xfrm>
                      <a:off x="0" y="0"/>
                      <a:ext cx="4226153" cy="3772792"/>
                    </a:xfrm>
                    <a:prstGeom prst="rect">
                      <a:avLst/>
                    </a:prstGeom>
                  </pic:spPr>
                </pic:pic>
              </a:graphicData>
            </a:graphic>
          </wp:inline>
        </w:drawing>
      </w:r>
    </w:p>
    <w:p w14:paraId="650B9D3A" w14:textId="77777777" w:rsidR="004E6BDC" w:rsidRDefault="004E6BDC"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p>
    <w:p w14:paraId="2E1DDF32" w14:textId="71C671E0"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eastAsia="en-US"/>
        </w:rPr>
      </w:pPr>
      <w:r w:rsidRPr="004E6BDC">
        <w:rPr>
          <w:rFonts w:ascii="Times New Roman" w:eastAsiaTheme="minorHAnsi" w:hAnsi="Times New Roman" w:cs="Times New Roman"/>
          <w:b/>
          <w:bCs/>
          <w:i/>
          <w:iCs/>
          <w:sz w:val="28"/>
          <w:szCs w:val="28"/>
          <w:lang w:val="en-US" w:eastAsia="en-US"/>
        </w:rPr>
        <w:t>Somatic mutation and clonal selection in the germinal centers of lymph nodes. B cells activated by CD4 T cells enter the dark zone of the germinal center, proliferate, and undergo mutation of the immunoglobulin genes and isotope switching. The mutations trigger apoptosis. The B cells proceed to the light zone of the germinal center in which follicular dendritic cells (FDC) act like bulletin boards to display multiple units of the antigen to surface antibody on B cells. B cells with surface immunoglobulin that bind tightly to antigen and present peptides recognized by follicular helper cells (</w:t>
      </w:r>
      <w:proofErr w:type="spellStart"/>
      <w:r w:rsidRPr="004E6BDC">
        <w:rPr>
          <w:rFonts w:ascii="Times New Roman" w:eastAsiaTheme="minorHAnsi" w:hAnsi="Times New Roman" w:cs="Times New Roman"/>
          <w:b/>
          <w:bCs/>
          <w:i/>
          <w:iCs/>
          <w:sz w:val="28"/>
          <w:szCs w:val="28"/>
          <w:lang w:val="en-US" w:eastAsia="en-US"/>
        </w:rPr>
        <w:t>Tfh</w:t>
      </w:r>
      <w:proofErr w:type="spellEnd"/>
      <w:r w:rsidRPr="004E6BDC">
        <w:rPr>
          <w:rFonts w:ascii="Times New Roman" w:eastAsiaTheme="minorHAnsi" w:hAnsi="Times New Roman" w:cs="Times New Roman"/>
          <w:b/>
          <w:bCs/>
          <w:i/>
          <w:iCs/>
          <w:sz w:val="28"/>
          <w:szCs w:val="28"/>
          <w:lang w:val="en-US" w:eastAsia="en-US"/>
        </w:rPr>
        <w:t xml:space="preserve">) receive a survival signal from the </w:t>
      </w:r>
      <w:proofErr w:type="spellStart"/>
      <w:r w:rsidRPr="004E6BDC">
        <w:rPr>
          <w:rFonts w:ascii="Times New Roman" w:eastAsiaTheme="minorHAnsi" w:hAnsi="Times New Roman" w:cs="Times New Roman"/>
          <w:b/>
          <w:bCs/>
          <w:i/>
          <w:iCs/>
          <w:sz w:val="28"/>
          <w:szCs w:val="28"/>
          <w:lang w:val="en-US" w:eastAsia="en-US"/>
        </w:rPr>
        <w:t>Tfh</w:t>
      </w:r>
      <w:proofErr w:type="spellEnd"/>
      <w:r w:rsidRPr="004E6BDC">
        <w:rPr>
          <w:rFonts w:ascii="Times New Roman" w:eastAsiaTheme="minorHAnsi" w:hAnsi="Times New Roman" w:cs="Times New Roman"/>
          <w:b/>
          <w:bCs/>
          <w:i/>
          <w:iCs/>
          <w:sz w:val="28"/>
          <w:szCs w:val="28"/>
          <w:lang w:val="en-US" w:eastAsia="en-US"/>
        </w:rPr>
        <w:t xml:space="preserve"> while the other B cells die by apoptosis. The surviving B cells may recycle through the dark zone to repeat the cycle or receive signals for differentiation into memory cells or plasma cells and leave the lymph node. MHC, Major histocompatibility complex; TCR, T-cell </w:t>
      </w:r>
      <w:r w:rsidRPr="004E6BDC">
        <w:rPr>
          <w:rFonts w:ascii="Times New Roman" w:eastAsiaTheme="minorHAnsi" w:hAnsi="Times New Roman" w:cs="Times New Roman"/>
          <w:b/>
          <w:bCs/>
          <w:i/>
          <w:iCs/>
          <w:sz w:val="28"/>
          <w:szCs w:val="28"/>
          <w:lang w:eastAsia="en-US"/>
        </w:rPr>
        <w:t>receptor.</w:t>
      </w:r>
    </w:p>
    <w:p w14:paraId="4B084832"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drawing>
          <wp:inline distT="0" distB="0" distL="0" distR="0" wp14:anchorId="2C2621B1" wp14:editId="4DE75CFD">
            <wp:extent cx="2425825" cy="2768742"/>
            <wp:effectExtent l="0" t="0" r="0" b="0"/>
            <wp:docPr id="103992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26025" name=""/>
                    <pic:cNvPicPr/>
                  </pic:nvPicPr>
                  <pic:blipFill>
                    <a:blip r:embed="rId14"/>
                    <a:stretch>
                      <a:fillRect/>
                    </a:stretch>
                  </pic:blipFill>
                  <pic:spPr>
                    <a:xfrm>
                      <a:off x="0" y="0"/>
                      <a:ext cx="2425825" cy="2768742"/>
                    </a:xfrm>
                    <a:prstGeom prst="rect">
                      <a:avLst/>
                    </a:prstGeom>
                  </pic:spPr>
                </pic:pic>
              </a:graphicData>
            </a:graphic>
          </wp:inline>
        </w:drawing>
      </w:r>
    </w:p>
    <w:p w14:paraId="17C68780"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3648EB1A"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 xml:space="preserve">Time course of immune responses. The primary response occurs after a lag period. The immunoglobulin (Ig)M response is the earliest response. The secondary immune response </w:t>
      </w:r>
      <w:r w:rsidRPr="004E6BDC">
        <w:rPr>
          <w:rFonts w:ascii="Times New Roman" w:eastAsiaTheme="minorHAnsi" w:hAnsi="Times New Roman" w:cs="Times New Roman"/>
          <w:b/>
          <w:bCs/>
          <w:i/>
          <w:iCs/>
          <w:sz w:val="28"/>
          <w:szCs w:val="28"/>
          <w:lang w:val="en-US" w:eastAsia="en-US"/>
        </w:rPr>
        <w:lastRenderedPageBreak/>
        <w:t>(anamnestic response) progresses faster, reaches a higher titer, lasts longer, and consists predominantly of IgG.</w:t>
      </w:r>
    </w:p>
    <w:p w14:paraId="267027BA"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drawing>
          <wp:inline distT="0" distB="0" distL="0" distR="0" wp14:anchorId="3FE74002" wp14:editId="63BE3F41">
            <wp:extent cx="3716459" cy="2152650"/>
            <wp:effectExtent l="0" t="0" r="0" b="0"/>
            <wp:docPr id="174176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69596" name=""/>
                    <pic:cNvPicPr/>
                  </pic:nvPicPr>
                  <pic:blipFill>
                    <a:blip r:embed="rId15"/>
                    <a:stretch>
                      <a:fillRect/>
                    </a:stretch>
                  </pic:blipFill>
                  <pic:spPr>
                    <a:xfrm>
                      <a:off x="0" y="0"/>
                      <a:ext cx="3730321" cy="2160679"/>
                    </a:xfrm>
                    <a:prstGeom prst="rect">
                      <a:avLst/>
                    </a:prstGeom>
                  </pic:spPr>
                </pic:pic>
              </a:graphicData>
            </a:graphic>
          </wp:inline>
        </w:drawing>
      </w:r>
    </w:p>
    <w:p w14:paraId="37B0D7E6"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1657576B"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Importance of Antimicrobial Defenses for Infectious Agents</w:t>
      </w:r>
    </w:p>
    <w:p w14:paraId="2FC15493"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drawing>
          <wp:inline distT="0" distB="0" distL="0" distR="0" wp14:anchorId="0A898CE7" wp14:editId="3D9E1DF3">
            <wp:extent cx="6642751" cy="2320356"/>
            <wp:effectExtent l="0" t="0" r="5715" b="3810"/>
            <wp:docPr id="1595091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91616" name=""/>
                    <pic:cNvPicPr/>
                  </pic:nvPicPr>
                  <pic:blipFill>
                    <a:blip r:embed="rId16"/>
                    <a:stretch>
                      <a:fillRect/>
                    </a:stretch>
                  </pic:blipFill>
                  <pic:spPr>
                    <a:xfrm>
                      <a:off x="0" y="0"/>
                      <a:ext cx="6686230" cy="2335543"/>
                    </a:xfrm>
                    <a:prstGeom prst="rect">
                      <a:avLst/>
                    </a:prstGeom>
                  </pic:spPr>
                </pic:pic>
              </a:graphicData>
            </a:graphic>
          </wp:inline>
        </w:drawing>
      </w:r>
    </w:p>
    <w:p w14:paraId="26D667CA" w14:textId="77777777" w:rsidR="00EF525B"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1994FEC8" w14:textId="77777777" w:rsidR="004E6BDC" w:rsidRDefault="004E6BDC" w:rsidP="004E6BDC">
      <w:pPr>
        <w:autoSpaceDE w:val="0"/>
        <w:autoSpaceDN w:val="0"/>
        <w:adjustRightInd w:val="0"/>
        <w:spacing w:after="0" w:line="240" w:lineRule="auto"/>
        <w:rPr>
          <w:rFonts w:ascii="Times New Roman" w:hAnsi="Times New Roman" w:cs="Times New Roman"/>
          <w:b/>
          <w:bCs/>
          <w:i/>
          <w:iCs/>
          <w:sz w:val="28"/>
          <w:szCs w:val="28"/>
          <w:lang w:val="en-US"/>
        </w:rPr>
      </w:pPr>
    </w:p>
    <w:p w14:paraId="65F7FB65" w14:textId="77777777" w:rsidR="004E6BDC" w:rsidRPr="004E6BDC" w:rsidRDefault="004E6BDC" w:rsidP="004E6BDC">
      <w:pPr>
        <w:autoSpaceDE w:val="0"/>
        <w:autoSpaceDN w:val="0"/>
        <w:adjustRightInd w:val="0"/>
        <w:spacing w:after="0" w:line="240" w:lineRule="auto"/>
        <w:rPr>
          <w:rFonts w:ascii="Times New Roman" w:hAnsi="Times New Roman" w:cs="Times New Roman"/>
          <w:b/>
          <w:bCs/>
          <w:i/>
          <w:iCs/>
          <w:sz w:val="28"/>
          <w:szCs w:val="28"/>
          <w:lang w:val="en-US"/>
        </w:rPr>
      </w:pPr>
    </w:p>
    <w:p w14:paraId="04B49CC5" w14:textId="3A5ACB13"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Antibacterial responses to a splinter. The time course proceeds from local (left) to lymph node (right) and then returns as indicated at the top</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of the figure. First, innate antigen-nonspecific responses attract and promote polymorphonuclear neutrophil (PMN) and macrophage (M_) responses.</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Epithelial cells and other cells produce antimicrobial peptides (not shown). Dendritic cells (DCs) mature taking antigen to the lymph node to activate</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early immune responses (TH17, TH1, IgM, and IgG). TH1 and TH17 cells mobilize to the site of infection to provide cytokine help. Later, when antigen</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reaches the lymph node through lymphatics, TH2 systemic antibody responses are developed. APC, Antigen-presenting cell; CTL, cytotoxic T lymphocyte;</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Ig, immunoglobulin; IFN-</w:t>
      </w:r>
      <w:r w:rsidR="004321E1">
        <w:rPr>
          <w:rFonts w:ascii="Times New Roman" w:eastAsiaTheme="minorHAnsi" w:hAnsi="Times New Roman" w:cs="Times New Roman"/>
          <w:b/>
          <w:bCs/>
          <w:i/>
          <w:iCs/>
          <w:sz w:val="28"/>
          <w:szCs w:val="28"/>
          <w:lang w:val="en-US" w:eastAsia="en-US"/>
        </w:rPr>
        <w:t>γ</w:t>
      </w:r>
      <w:r w:rsidRPr="004E6BDC">
        <w:rPr>
          <w:rFonts w:ascii="Times New Roman" w:eastAsiaTheme="minorHAnsi" w:hAnsi="Times New Roman" w:cs="Times New Roman"/>
          <w:b/>
          <w:bCs/>
          <w:i/>
          <w:iCs/>
          <w:sz w:val="28"/>
          <w:szCs w:val="28"/>
          <w:lang w:val="en-US" w:eastAsia="en-US"/>
        </w:rPr>
        <w:t>, interferon-</w:t>
      </w:r>
      <w:r w:rsidR="004321E1">
        <w:rPr>
          <w:rFonts w:ascii="Times New Roman" w:eastAsiaTheme="minorHAnsi" w:hAnsi="Times New Roman" w:cs="Times New Roman"/>
          <w:b/>
          <w:bCs/>
          <w:i/>
          <w:iCs/>
          <w:sz w:val="28"/>
          <w:szCs w:val="28"/>
          <w:lang w:val="en-US" w:eastAsia="en-US"/>
        </w:rPr>
        <w:t>β</w:t>
      </w:r>
      <w:r w:rsidRPr="004E6BDC">
        <w:rPr>
          <w:rFonts w:ascii="Times New Roman" w:eastAsiaTheme="minorHAnsi" w:hAnsi="Times New Roman" w:cs="Times New Roman"/>
          <w:b/>
          <w:bCs/>
          <w:i/>
          <w:iCs/>
          <w:sz w:val="28"/>
          <w:szCs w:val="28"/>
          <w:lang w:val="en-US" w:eastAsia="en-US"/>
        </w:rPr>
        <w:t>; IL, interleukin; TGF-</w:t>
      </w:r>
      <w:r w:rsidR="004321E1">
        <w:rPr>
          <w:rFonts w:ascii="Times New Roman" w:eastAsiaTheme="minorHAnsi" w:hAnsi="Times New Roman" w:cs="Times New Roman"/>
          <w:b/>
          <w:bCs/>
          <w:i/>
          <w:iCs/>
          <w:sz w:val="28"/>
          <w:szCs w:val="28"/>
          <w:lang w:val="en-US" w:eastAsia="en-US"/>
        </w:rPr>
        <w:t>β</w:t>
      </w:r>
      <w:r w:rsidRPr="004E6BDC">
        <w:rPr>
          <w:rFonts w:ascii="Times New Roman" w:eastAsiaTheme="minorHAnsi" w:hAnsi="Times New Roman" w:cs="Times New Roman"/>
          <w:b/>
          <w:bCs/>
          <w:i/>
          <w:iCs/>
          <w:sz w:val="28"/>
          <w:szCs w:val="28"/>
          <w:lang w:val="en-US" w:eastAsia="en-US"/>
        </w:rPr>
        <w:t>, transforming growth factor-</w:t>
      </w:r>
      <w:r w:rsidR="004321E1">
        <w:rPr>
          <w:rFonts w:ascii="Times New Roman" w:eastAsiaTheme="minorHAnsi" w:hAnsi="Times New Roman" w:cs="Times New Roman"/>
          <w:b/>
          <w:bCs/>
          <w:i/>
          <w:iCs/>
          <w:sz w:val="28"/>
          <w:szCs w:val="28"/>
          <w:lang w:val="en-US" w:eastAsia="en-US"/>
        </w:rPr>
        <w:t>α</w:t>
      </w:r>
      <w:r w:rsidRPr="004E6BDC">
        <w:rPr>
          <w:rFonts w:ascii="Times New Roman" w:eastAsiaTheme="minorHAnsi" w:hAnsi="Times New Roman" w:cs="Times New Roman"/>
          <w:b/>
          <w:bCs/>
          <w:i/>
          <w:iCs/>
          <w:sz w:val="28"/>
          <w:szCs w:val="28"/>
          <w:lang w:val="en-US" w:eastAsia="en-US"/>
        </w:rPr>
        <w:t>; TH, T helper (cell); TNF-</w:t>
      </w:r>
      <w:r w:rsidR="004321E1">
        <w:rPr>
          <w:rFonts w:ascii="Times New Roman" w:eastAsiaTheme="minorHAnsi" w:hAnsi="Times New Roman" w:cs="Times New Roman"/>
          <w:b/>
          <w:bCs/>
          <w:i/>
          <w:iCs/>
          <w:sz w:val="28"/>
          <w:szCs w:val="28"/>
          <w:lang w:val="en-US" w:eastAsia="en-US"/>
        </w:rPr>
        <w:t>α</w:t>
      </w:r>
      <w:r w:rsidRPr="004E6BDC">
        <w:rPr>
          <w:rFonts w:ascii="Times New Roman" w:eastAsiaTheme="minorHAnsi" w:hAnsi="Times New Roman" w:cs="Times New Roman"/>
          <w:b/>
          <w:bCs/>
          <w:i/>
          <w:iCs/>
          <w:sz w:val="28"/>
          <w:szCs w:val="28"/>
          <w:lang w:val="en-US" w:eastAsia="en-US"/>
        </w:rPr>
        <w:t>, tumor necrosis factor.</w:t>
      </w:r>
    </w:p>
    <w:p w14:paraId="1FEEDE27"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lastRenderedPageBreak/>
        <w:drawing>
          <wp:inline distT="0" distB="0" distL="0" distR="0" wp14:anchorId="469F1985" wp14:editId="7A5A8406">
            <wp:extent cx="5860415" cy="3136900"/>
            <wp:effectExtent l="0" t="0" r="6985" b="6350"/>
            <wp:docPr id="1655880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80930" name=""/>
                    <pic:cNvPicPr/>
                  </pic:nvPicPr>
                  <pic:blipFill rotWithShape="1">
                    <a:blip r:embed="rId17"/>
                    <a:srcRect b="16966"/>
                    <a:stretch/>
                  </pic:blipFill>
                  <pic:spPr bwMode="auto">
                    <a:xfrm>
                      <a:off x="0" y="0"/>
                      <a:ext cx="5869676" cy="3141857"/>
                    </a:xfrm>
                    <a:prstGeom prst="rect">
                      <a:avLst/>
                    </a:prstGeom>
                    <a:ln>
                      <a:noFill/>
                    </a:ln>
                    <a:extLst>
                      <a:ext uri="{53640926-AAD7-44D8-BBD7-CCE9431645EC}">
                        <a14:shadowObscured xmlns:a14="http://schemas.microsoft.com/office/drawing/2010/main"/>
                      </a:ext>
                    </a:extLst>
                  </pic:spPr>
                </pic:pic>
              </a:graphicData>
            </a:graphic>
          </wp:inline>
        </w:drawing>
      </w:r>
    </w:p>
    <w:p w14:paraId="6072AC1B" w14:textId="77777777" w:rsidR="004321E1" w:rsidRDefault="004321E1"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p>
    <w:p w14:paraId="29CD3491" w14:textId="7D87DE93"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Summary of Antibacterial Responses</w:t>
      </w:r>
    </w:p>
    <w:p w14:paraId="40667392"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Antimicrobial Peptides and Proteins</w:t>
      </w:r>
    </w:p>
    <w:p w14:paraId="356C7A29"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Defensins and other peptides disrupt membranes</w:t>
      </w:r>
    </w:p>
    <w:p w14:paraId="1D9753BC"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Transferrin, lactoferrin, and other proteins sequester iron and other essential ions</w:t>
      </w:r>
    </w:p>
    <w:p w14:paraId="517408CC"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Complement</w:t>
      </w:r>
    </w:p>
    <w:p w14:paraId="6B82481B"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Production of chemotactic and anaphylatoxin proteins (C3a, C5a)</w:t>
      </w:r>
    </w:p>
    <w:p w14:paraId="00153763"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Opsonization of bacteria (C3b)</w:t>
      </w:r>
    </w:p>
    <w:p w14:paraId="48FA82F1"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Promotion of killing of gram-negative bacteria</w:t>
      </w:r>
    </w:p>
    <w:p w14:paraId="4D7E374F"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Activation of B cells (C3d)</w:t>
      </w:r>
    </w:p>
    <w:p w14:paraId="7E1CBE6B"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Neutrophils</w:t>
      </w:r>
    </w:p>
    <w:p w14:paraId="2FC1FE37"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Important antibacterial phagocytic cells</w:t>
      </w:r>
    </w:p>
    <w:p w14:paraId="40425AD3"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Killing by oxygen-dependent and oxygen-independent mechanisms</w:t>
      </w:r>
    </w:p>
    <w:p w14:paraId="4CA31822"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Activated Macrophages (M1)</w:t>
      </w:r>
    </w:p>
    <w:p w14:paraId="27E1B522"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Important antibacterial phagocytic cells</w:t>
      </w:r>
    </w:p>
    <w:p w14:paraId="18EE9898"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Killing by oxygen-dependent and oxygen-independent mechanisms</w:t>
      </w:r>
    </w:p>
    <w:p w14:paraId="1460BE63"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Production of TNF-</w:t>
      </w:r>
      <w:r w:rsidRPr="004E6BDC">
        <w:rPr>
          <w:rFonts w:ascii="Times New Roman" w:eastAsiaTheme="minorHAnsi" w:hAnsi="Times New Roman" w:cs="Times New Roman"/>
          <w:b/>
          <w:bCs/>
          <w:sz w:val="28"/>
          <w:szCs w:val="28"/>
          <w:lang w:val="en-US" w:eastAsia="en-US"/>
        </w:rPr>
        <w:t>α</w:t>
      </w:r>
      <w:r w:rsidRPr="004E6BDC">
        <w:rPr>
          <w:rFonts w:ascii="Times New Roman" w:eastAsiaTheme="minorHAnsi" w:hAnsi="Times New Roman" w:cs="Times New Roman"/>
          <w:sz w:val="28"/>
          <w:szCs w:val="28"/>
          <w:lang w:val="en-US" w:eastAsia="en-US"/>
        </w:rPr>
        <w:t>, IL-1, IL-6, IL-23, IL-12</w:t>
      </w:r>
    </w:p>
    <w:p w14:paraId="5E749429"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Activation of acute-phase and inflammatory responses</w:t>
      </w:r>
    </w:p>
    <w:p w14:paraId="3964CB93"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Presentation of antigen to CD4 T cell</w:t>
      </w:r>
    </w:p>
    <w:p w14:paraId="6AE2A8B5"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Dendritic Cells</w:t>
      </w:r>
    </w:p>
    <w:p w14:paraId="146F0D96"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sz w:val="28"/>
          <w:szCs w:val="28"/>
          <w:lang w:val="en-US" w:eastAsia="en-US"/>
        </w:rPr>
        <w:t>Production of acute phase cytokines (TNF-α, IL-6, IL-1); IL-23; IL-12; IFN-</w:t>
      </w:r>
      <w:r w:rsidRPr="004E6BDC">
        <w:rPr>
          <w:rFonts w:ascii="Times New Roman" w:eastAsiaTheme="minorHAnsi" w:hAnsi="Times New Roman" w:cs="Times New Roman"/>
          <w:b/>
          <w:bCs/>
          <w:sz w:val="28"/>
          <w:szCs w:val="28"/>
          <w:lang w:val="en-US" w:eastAsia="en-US"/>
        </w:rPr>
        <w:t>α</w:t>
      </w:r>
    </w:p>
    <w:p w14:paraId="0368E147"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Presentation of antigen to CD4 and CD8 T cells</w:t>
      </w:r>
    </w:p>
    <w:p w14:paraId="69971398"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Initiation of immune responses in naive T cells</w:t>
      </w:r>
    </w:p>
    <w:p w14:paraId="63D78DE6"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T Cells</w:t>
      </w:r>
    </w:p>
    <w:p w14:paraId="5F6BAF08"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b/>
          <w:bCs/>
          <w:sz w:val="28"/>
          <w:szCs w:val="28"/>
          <w:lang w:eastAsia="en-US"/>
        </w:rPr>
        <w:t>γ</w:t>
      </w:r>
      <w:r w:rsidRPr="004E6BDC">
        <w:rPr>
          <w:rFonts w:ascii="Times New Roman" w:eastAsiaTheme="minorHAnsi" w:hAnsi="Times New Roman" w:cs="Times New Roman"/>
          <w:sz w:val="28"/>
          <w:szCs w:val="28"/>
          <w:lang w:val="en-US" w:eastAsia="en-US"/>
        </w:rPr>
        <w:t>/</w:t>
      </w:r>
      <w:r w:rsidRPr="004E6BDC">
        <w:rPr>
          <w:rFonts w:ascii="Times New Roman" w:eastAsiaTheme="minorHAnsi" w:hAnsi="Times New Roman" w:cs="Times New Roman"/>
          <w:b/>
          <w:bCs/>
          <w:sz w:val="28"/>
          <w:szCs w:val="28"/>
          <w:lang w:eastAsia="en-US"/>
        </w:rPr>
        <w:t>δ</w:t>
      </w:r>
      <w:r w:rsidRPr="004E6BDC">
        <w:rPr>
          <w:rFonts w:ascii="Times New Roman" w:eastAsiaTheme="minorHAnsi" w:hAnsi="Times New Roman" w:cs="Times New Roman"/>
          <w:b/>
          <w:bCs/>
          <w:sz w:val="28"/>
          <w:szCs w:val="28"/>
          <w:lang w:val="en-US" w:eastAsia="en-US"/>
        </w:rPr>
        <w:t xml:space="preserve"> </w:t>
      </w:r>
      <w:r w:rsidRPr="004E6BDC">
        <w:rPr>
          <w:rFonts w:ascii="Times New Roman" w:eastAsiaTheme="minorHAnsi" w:hAnsi="Times New Roman" w:cs="Times New Roman"/>
          <w:sz w:val="28"/>
          <w:szCs w:val="28"/>
          <w:lang w:val="en-US" w:eastAsia="en-US"/>
        </w:rPr>
        <w:t>T-cell and MAIT cell response to bacterial metabolites</w:t>
      </w:r>
    </w:p>
    <w:p w14:paraId="4126B720"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NKT cell response to CD1 presentation of mycobacterial glycolipids</w:t>
      </w:r>
    </w:p>
    <w:p w14:paraId="054C0BB6"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TH17 CD4 response activates neutrophils and epithelial cells</w:t>
      </w:r>
    </w:p>
    <w:p w14:paraId="516A0ABA"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TH1 CD4 responses important for bacterial, especially intracellular, infections</w:t>
      </w:r>
    </w:p>
    <w:p w14:paraId="6C2A5197"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TH2 CD4 response important for antibody protections</w:t>
      </w:r>
    </w:p>
    <w:p w14:paraId="2E890DC2"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Antibody</w:t>
      </w:r>
    </w:p>
    <w:p w14:paraId="1DEBE1F6" w14:textId="055AAAB6"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Binding to surface structures of bacteria (fimbriae, lipoteichoic</w:t>
      </w:r>
      <w:r w:rsidR="004E6BDC"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sz w:val="28"/>
          <w:szCs w:val="28"/>
          <w:lang w:val="en-US" w:eastAsia="en-US"/>
        </w:rPr>
        <w:t>acid, capsule)</w:t>
      </w:r>
    </w:p>
    <w:p w14:paraId="7D4862F8"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Blocking of attachment</w:t>
      </w:r>
    </w:p>
    <w:p w14:paraId="5D09C4AB"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lastRenderedPageBreak/>
        <w:t>Opsonization of bacteria for phagocytosis</w:t>
      </w:r>
    </w:p>
    <w:p w14:paraId="5ACAC8A2"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Promotion of complement action</w:t>
      </w:r>
    </w:p>
    <w:p w14:paraId="307FDA00"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Promotion of clearance of bacteria</w:t>
      </w:r>
    </w:p>
    <w:p w14:paraId="33DB0219"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Neutralization of toxins and toxic enzymes</w:t>
      </w:r>
    </w:p>
    <w:p w14:paraId="73EC5996" w14:textId="1A0CFAC6" w:rsidR="00EF525B" w:rsidRPr="004321E1" w:rsidRDefault="00EF525B" w:rsidP="004E6BDC">
      <w:pPr>
        <w:autoSpaceDE w:val="0"/>
        <w:autoSpaceDN w:val="0"/>
        <w:adjustRightInd w:val="0"/>
        <w:spacing w:after="0" w:line="240" w:lineRule="auto"/>
        <w:rPr>
          <w:rFonts w:ascii="Times New Roman" w:eastAsiaTheme="minorHAnsi" w:hAnsi="Times New Roman" w:cs="Times New Roman"/>
          <w:i/>
          <w:iCs/>
          <w:sz w:val="28"/>
          <w:szCs w:val="28"/>
          <w:lang w:val="en-US" w:eastAsia="en-US"/>
        </w:rPr>
      </w:pPr>
      <w:r w:rsidRPr="004321E1">
        <w:rPr>
          <w:rFonts w:ascii="Times New Roman" w:eastAsiaTheme="minorHAnsi" w:hAnsi="Times New Roman" w:cs="Times New Roman"/>
          <w:i/>
          <w:iCs/>
          <w:sz w:val="28"/>
          <w:szCs w:val="28"/>
          <w:lang w:val="en-US" w:eastAsia="en-US"/>
        </w:rPr>
        <w:t>IFN</w:t>
      </w:r>
      <w:r w:rsidR="004321E1" w:rsidRPr="004321E1">
        <w:rPr>
          <w:rFonts w:ascii="Times New Roman" w:eastAsiaTheme="minorHAnsi" w:hAnsi="Times New Roman" w:cs="Times New Roman"/>
          <w:i/>
          <w:iCs/>
          <w:sz w:val="28"/>
          <w:szCs w:val="28"/>
          <w:lang w:val="en-US" w:eastAsia="en-US"/>
        </w:rPr>
        <w:t>-</w:t>
      </w:r>
      <w:r w:rsidRPr="004321E1">
        <w:rPr>
          <w:rFonts w:ascii="Times New Roman" w:eastAsiaTheme="minorHAnsi" w:hAnsi="Times New Roman" w:cs="Times New Roman"/>
          <w:i/>
          <w:iCs/>
          <w:sz w:val="28"/>
          <w:szCs w:val="28"/>
          <w:lang w:val="en-US" w:eastAsia="en-US"/>
        </w:rPr>
        <w:t>Interferon; IL</w:t>
      </w:r>
      <w:r w:rsidR="004321E1" w:rsidRPr="004321E1">
        <w:rPr>
          <w:rFonts w:ascii="Times New Roman" w:eastAsiaTheme="minorHAnsi" w:hAnsi="Times New Roman" w:cs="Times New Roman"/>
          <w:i/>
          <w:iCs/>
          <w:sz w:val="28"/>
          <w:szCs w:val="28"/>
          <w:lang w:val="en-US" w:eastAsia="en-US"/>
        </w:rPr>
        <w:t>-</w:t>
      </w:r>
      <w:r w:rsidRPr="004321E1">
        <w:rPr>
          <w:rFonts w:ascii="Times New Roman" w:eastAsiaTheme="minorHAnsi" w:hAnsi="Times New Roman" w:cs="Times New Roman"/>
          <w:i/>
          <w:iCs/>
          <w:sz w:val="28"/>
          <w:szCs w:val="28"/>
          <w:lang w:val="en-US" w:eastAsia="en-US"/>
        </w:rPr>
        <w:t>interleukin; MAIT</w:t>
      </w:r>
      <w:r w:rsidR="004321E1" w:rsidRPr="004321E1">
        <w:rPr>
          <w:rFonts w:ascii="Times New Roman" w:eastAsiaTheme="minorHAnsi" w:hAnsi="Times New Roman" w:cs="Times New Roman"/>
          <w:i/>
          <w:iCs/>
          <w:sz w:val="28"/>
          <w:szCs w:val="28"/>
          <w:lang w:val="en-US" w:eastAsia="en-US"/>
        </w:rPr>
        <w:t>-</w:t>
      </w:r>
      <w:r w:rsidRPr="004321E1">
        <w:rPr>
          <w:rFonts w:ascii="Times New Roman" w:eastAsiaTheme="minorHAnsi" w:hAnsi="Times New Roman" w:cs="Times New Roman"/>
          <w:i/>
          <w:iCs/>
          <w:sz w:val="28"/>
          <w:szCs w:val="28"/>
          <w:lang w:val="en-US" w:eastAsia="en-US"/>
        </w:rPr>
        <w:t>mucosal-associated invariant T cell; NKT</w:t>
      </w:r>
      <w:r w:rsidR="004321E1" w:rsidRPr="004321E1">
        <w:rPr>
          <w:rFonts w:ascii="Times New Roman" w:eastAsiaTheme="minorHAnsi" w:hAnsi="Times New Roman" w:cs="Times New Roman"/>
          <w:i/>
          <w:iCs/>
          <w:sz w:val="28"/>
          <w:szCs w:val="28"/>
          <w:lang w:val="en-US" w:eastAsia="en-US"/>
        </w:rPr>
        <w:t>-</w:t>
      </w:r>
      <w:r w:rsidRPr="004321E1">
        <w:rPr>
          <w:rFonts w:ascii="Times New Roman" w:eastAsiaTheme="minorHAnsi" w:hAnsi="Times New Roman" w:cs="Times New Roman"/>
          <w:i/>
          <w:iCs/>
          <w:sz w:val="28"/>
          <w:szCs w:val="28"/>
          <w:lang w:val="en-US" w:eastAsia="en-US"/>
        </w:rPr>
        <w:t>natural killer T (cell); TH</w:t>
      </w:r>
      <w:r w:rsidR="004321E1" w:rsidRPr="004321E1">
        <w:rPr>
          <w:rFonts w:ascii="Times New Roman" w:eastAsiaTheme="minorHAnsi" w:hAnsi="Times New Roman" w:cs="Times New Roman"/>
          <w:i/>
          <w:iCs/>
          <w:sz w:val="28"/>
          <w:szCs w:val="28"/>
          <w:lang w:val="en-US" w:eastAsia="en-US"/>
        </w:rPr>
        <w:t>-</w:t>
      </w:r>
      <w:r w:rsidRPr="004321E1">
        <w:rPr>
          <w:rFonts w:ascii="Times New Roman" w:eastAsiaTheme="minorHAnsi" w:hAnsi="Times New Roman" w:cs="Times New Roman"/>
          <w:i/>
          <w:iCs/>
          <w:sz w:val="28"/>
          <w:szCs w:val="28"/>
          <w:lang w:val="en-US" w:eastAsia="en-US"/>
        </w:rPr>
        <w:t xml:space="preserve"> T helper (cell); TNF</w:t>
      </w:r>
      <w:r w:rsidR="004321E1" w:rsidRPr="004321E1">
        <w:rPr>
          <w:rFonts w:ascii="Times New Roman" w:eastAsiaTheme="minorHAnsi" w:hAnsi="Times New Roman" w:cs="Times New Roman"/>
          <w:i/>
          <w:iCs/>
          <w:sz w:val="28"/>
          <w:szCs w:val="28"/>
          <w:lang w:val="en-US" w:eastAsia="en-US"/>
        </w:rPr>
        <w:t>-</w:t>
      </w:r>
      <w:r w:rsidRPr="004321E1">
        <w:rPr>
          <w:rFonts w:ascii="Times New Roman" w:eastAsiaTheme="minorHAnsi" w:hAnsi="Times New Roman" w:cs="Times New Roman"/>
          <w:i/>
          <w:iCs/>
          <w:sz w:val="28"/>
          <w:szCs w:val="28"/>
          <w:lang w:val="en-US" w:eastAsia="en-US"/>
        </w:rPr>
        <w:t xml:space="preserve"> tumor necrosis factor.</w:t>
      </w:r>
    </w:p>
    <w:p w14:paraId="4D35CDE5"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2428B484"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48A1FC20" w14:textId="7C08CDBD"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Initiation and expansion of specific immune responses. Immature dendritic cells (</w:t>
      </w:r>
      <w:proofErr w:type="spellStart"/>
      <w:r w:rsidRPr="004E6BDC">
        <w:rPr>
          <w:rFonts w:ascii="Times New Roman" w:eastAsiaTheme="minorHAnsi" w:hAnsi="Times New Roman" w:cs="Times New Roman"/>
          <w:b/>
          <w:bCs/>
          <w:i/>
          <w:iCs/>
          <w:sz w:val="28"/>
          <w:szCs w:val="28"/>
          <w:lang w:val="en-US" w:eastAsia="en-US"/>
        </w:rPr>
        <w:t>iDCs</w:t>
      </w:r>
      <w:proofErr w:type="spellEnd"/>
      <w:r w:rsidRPr="004E6BDC">
        <w:rPr>
          <w:rFonts w:ascii="Times New Roman" w:eastAsiaTheme="minorHAnsi" w:hAnsi="Times New Roman" w:cs="Times New Roman"/>
          <w:b/>
          <w:bCs/>
          <w:i/>
          <w:iCs/>
          <w:sz w:val="28"/>
          <w:szCs w:val="28"/>
          <w:lang w:val="en-US" w:eastAsia="en-US"/>
        </w:rPr>
        <w:t>) at the site of infection acquire microbial debris and become activated by Toll-like receptors (TLRs) and other pathogen pattern receptors binding their ligands. DCs produce cytokines, mature, and move to the lymph node. DCs present peptide antigen to naive T cells to initiate the antigen-specific and cytokine-directed response. During a secondary or memory response, B cells, macrophages, and DCs can present antigen to initiate the response. IFN-</w:t>
      </w:r>
      <w:r w:rsidR="004321E1">
        <w:rPr>
          <w:rFonts w:ascii="Times New Roman" w:eastAsiaTheme="minorHAnsi" w:hAnsi="Times New Roman" w:cs="Times New Roman"/>
          <w:b/>
          <w:bCs/>
          <w:i/>
          <w:iCs/>
          <w:sz w:val="28"/>
          <w:szCs w:val="28"/>
          <w:lang w:val="en-US" w:eastAsia="en-US"/>
        </w:rPr>
        <w:t>γ</w:t>
      </w:r>
      <w:r w:rsidRPr="004E6BDC">
        <w:rPr>
          <w:rFonts w:ascii="Times New Roman" w:eastAsiaTheme="minorHAnsi" w:hAnsi="Times New Roman" w:cs="Times New Roman"/>
          <w:b/>
          <w:bCs/>
          <w:i/>
          <w:iCs/>
          <w:sz w:val="28"/>
          <w:szCs w:val="28"/>
          <w:lang w:val="en-US" w:eastAsia="en-US"/>
        </w:rPr>
        <w:t>_ Interferon; IL</w:t>
      </w:r>
      <w:r w:rsidR="004321E1">
        <w:rPr>
          <w:rFonts w:ascii="Times New Roman" w:eastAsiaTheme="minorHAnsi" w:hAnsi="Times New Roman" w:cs="Times New Roman"/>
          <w:b/>
          <w:bCs/>
          <w:i/>
          <w:iCs/>
          <w:sz w:val="28"/>
          <w:szCs w:val="28"/>
          <w:lang w:val="en-US" w:eastAsia="en-US"/>
        </w:rPr>
        <w:t>-</w:t>
      </w:r>
      <w:r w:rsidRPr="004E6BDC">
        <w:rPr>
          <w:rFonts w:ascii="Times New Roman" w:eastAsiaTheme="minorHAnsi" w:hAnsi="Times New Roman" w:cs="Times New Roman"/>
          <w:b/>
          <w:bCs/>
          <w:i/>
          <w:iCs/>
          <w:sz w:val="28"/>
          <w:szCs w:val="28"/>
          <w:lang w:val="en-US" w:eastAsia="en-US"/>
        </w:rPr>
        <w:t xml:space="preserve"> interleukin; M</w:t>
      </w:r>
      <w:r w:rsidR="004321E1">
        <w:rPr>
          <w:rFonts w:ascii="Times New Roman" w:eastAsiaTheme="minorHAnsi" w:hAnsi="Times New Roman" w:cs="Times New Roman"/>
          <w:b/>
          <w:bCs/>
          <w:i/>
          <w:iCs/>
          <w:sz w:val="28"/>
          <w:szCs w:val="28"/>
          <w:lang w:val="en-US" w:eastAsia="en-US"/>
        </w:rPr>
        <w:t>-</w:t>
      </w:r>
      <w:r w:rsidRPr="004E6BDC">
        <w:rPr>
          <w:rFonts w:ascii="Times New Roman" w:eastAsiaTheme="minorHAnsi" w:hAnsi="Times New Roman" w:cs="Times New Roman"/>
          <w:b/>
          <w:bCs/>
          <w:i/>
          <w:iCs/>
          <w:sz w:val="28"/>
          <w:szCs w:val="28"/>
          <w:lang w:val="en-US" w:eastAsia="en-US"/>
        </w:rPr>
        <w:t xml:space="preserve"> macrophage; TH, T helper (cell).</w:t>
      </w:r>
    </w:p>
    <w:p w14:paraId="09523F1B"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334B9C5E" w14:textId="77777777" w:rsidR="00EF525B"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drawing>
          <wp:inline distT="0" distB="0" distL="0" distR="0" wp14:anchorId="63899383" wp14:editId="5BF75744">
            <wp:extent cx="6025903" cy="3740150"/>
            <wp:effectExtent l="0" t="0" r="0" b="0"/>
            <wp:docPr id="108140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08585" name=""/>
                    <pic:cNvPicPr/>
                  </pic:nvPicPr>
                  <pic:blipFill rotWithShape="1">
                    <a:blip r:embed="rId18"/>
                    <a:srcRect b="14253"/>
                    <a:stretch/>
                  </pic:blipFill>
                  <pic:spPr bwMode="auto">
                    <a:xfrm>
                      <a:off x="0" y="0"/>
                      <a:ext cx="6030901" cy="3743252"/>
                    </a:xfrm>
                    <a:prstGeom prst="rect">
                      <a:avLst/>
                    </a:prstGeom>
                    <a:ln>
                      <a:noFill/>
                    </a:ln>
                    <a:extLst>
                      <a:ext uri="{53640926-AAD7-44D8-BBD7-CCE9431645EC}">
                        <a14:shadowObscured xmlns:a14="http://schemas.microsoft.com/office/drawing/2010/main"/>
                      </a:ext>
                    </a:extLst>
                  </pic:spPr>
                </pic:pic>
              </a:graphicData>
            </a:graphic>
          </wp:inline>
        </w:drawing>
      </w:r>
    </w:p>
    <w:p w14:paraId="1A8F72F6" w14:textId="77777777" w:rsidR="004321E1" w:rsidRPr="004E6BDC" w:rsidRDefault="004321E1" w:rsidP="004E6BDC">
      <w:pPr>
        <w:autoSpaceDE w:val="0"/>
        <w:autoSpaceDN w:val="0"/>
        <w:adjustRightInd w:val="0"/>
        <w:spacing w:after="0" w:line="240" w:lineRule="auto"/>
        <w:rPr>
          <w:rFonts w:ascii="Times New Roman" w:hAnsi="Times New Roman" w:cs="Times New Roman"/>
          <w:b/>
          <w:bCs/>
          <w:i/>
          <w:iCs/>
          <w:sz w:val="28"/>
          <w:szCs w:val="28"/>
          <w:lang w:val="en-US"/>
        </w:rPr>
      </w:pPr>
    </w:p>
    <w:p w14:paraId="76BA8668"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6CC32FD3" w14:textId="77777777" w:rsidR="00EF525B" w:rsidRPr="00233A24"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233A24">
        <w:rPr>
          <w:rFonts w:ascii="Times New Roman" w:eastAsiaTheme="minorHAnsi" w:hAnsi="Times New Roman" w:cs="Times New Roman"/>
          <w:b/>
          <w:bCs/>
          <w:i/>
          <w:iCs/>
          <w:sz w:val="28"/>
          <w:szCs w:val="28"/>
          <w:lang w:val="en-US" w:eastAsia="en-US"/>
        </w:rPr>
        <w:t>Antiviral responses. The time course proceeds from local (left) to lymph node (right) and then returns to the infected site. The response to a virus (e.g., influenza virus) initiates with type 1 interferon production and action and natural killer (NK) cells. Dendritic cell (DC) initiation of CD4 and CD8 T cells is followed by activation of antigen-specific immunity similar to the antibacterial response, except that CD8 cytotoxic T lymphocytes (CTLs) are important antiviral responses. IFN, interferon; Ig, immunoglobulin; IL, interleukin; M_, macrophage; TH, T helper (cell); TNF, tumor necrosis factor.</w:t>
      </w:r>
    </w:p>
    <w:p w14:paraId="170EAF29"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lastRenderedPageBreak/>
        <w:drawing>
          <wp:inline distT="0" distB="0" distL="0" distR="0" wp14:anchorId="2F38964E" wp14:editId="7FC7F1DF">
            <wp:extent cx="6037273" cy="3232150"/>
            <wp:effectExtent l="0" t="0" r="1905" b="6350"/>
            <wp:docPr id="656287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87619" name=""/>
                    <pic:cNvPicPr/>
                  </pic:nvPicPr>
                  <pic:blipFill rotWithShape="1">
                    <a:blip r:embed="rId19"/>
                    <a:srcRect b="12550"/>
                    <a:stretch/>
                  </pic:blipFill>
                  <pic:spPr bwMode="auto">
                    <a:xfrm>
                      <a:off x="0" y="0"/>
                      <a:ext cx="6042549" cy="3234975"/>
                    </a:xfrm>
                    <a:prstGeom prst="rect">
                      <a:avLst/>
                    </a:prstGeom>
                    <a:ln>
                      <a:noFill/>
                    </a:ln>
                    <a:extLst>
                      <a:ext uri="{53640926-AAD7-44D8-BBD7-CCE9431645EC}">
                        <a14:shadowObscured xmlns:a14="http://schemas.microsoft.com/office/drawing/2010/main"/>
                      </a:ext>
                    </a:extLst>
                  </pic:spPr>
                </pic:pic>
              </a:graphicData>
            </a:graphic>
          </wp:inline>
        </w:drawing>
      </w:r>
    </w:p>
    <w:p w14:paraId="296274F6"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412DDCA1"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eastAsia="en-US"/>
        </w:rPr>
      </w:pPr>
      <w:r w:rsidRPr="004E6BDC">
        <w:rPr>
          <w:rFonts w:ascii="Times New Roman" w:eastAsiaTheme="minorHAnsi" w:hAnsi="Times New Roman" w:cs="Times New Roman"/>
          <w:b/>
          <w:bCs/>
          <w:i/>
          <w:iCs/>
          <w:sz w:val="28"/>
          <w:szCs w:val="28"/>
          <w:lang w:eastAsia="en-US"/>
        </w:rPr>
        <w:t>Basic Properties of Human Interferons</w:t>
      </w:r>
    </w:p>
    <w:p w14:paraId="1775EF79"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drawing>
          <wp:inline distT="0" distB="0" distL="0" distR="0" wp14:anchorId="594F92EB" wp14:editId="46167379">
            <wp:extent cx="4032250" cy="3698834"/>
            <wp:effectExtent l="0" t="0" r="6350" b="0"/>
            <wp:docPr id="31553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36603" name=""/>
                    <pic:cNvPicPr/>
                  </pic:nvPicPr>
                  <pic:blipFill>
                    <a:blip r:embed="rId20"/>
                    <a:stretch>
                      <a:fillRect/>
                    </a:stretch>
                  </pic:blipFill>
                  <pic:spPr>
                    <a:xfrm>
                      <a:off x="0" y="0"/>
                      <a:ext cx="4051196" cy="3716214"/>
                    </a:xfrm>
                    <a:prstGeom prst="rect">
                      <a:avLst/>
                    </a:prstGeom>
                  </pic:spPr>
                </pic:pic>
              </a:graphicData>
            </a:graphic>
          </wp:inline>
        </w:drawing>
      </w:r>
    </w:p>
    <w:p w14:paraId="2270A669"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56ACDF7D"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sz w:val="28"/>
          <w:szCs w:val="28"/>
          <w:lang w:val="en-US" w:eastAsia="en-US"/>
        </w:rPr>
        <w:t xml:space="preserve"> </w:t>
      </w:r>
      <w:r w:rsidRPr="004E6BDC">
        <w:rPr>
          <w:rFonts w:ascii="Times New Roman" w:eastAsiaTheme="minorHAnsi" w:hAnsi="Times New Roman" w:cs="Times New Roman"/>
          <w:b/>
          <w:bCs/>
          <w:sz w:val="28"/>
          <w:szCs w:val="28"/>
          <w:lang w:val="en-US" w:eastAsia="en-US"/>
        </w:rPr>
        <w:t>Summary of Antiviral Responses</w:t>
      </w:r>
    </w:p>
    <w:p w14:paraId="410693FB"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Antiviral state blocks viral replication on infection</w:t>
      </w:r>
    </w:p>
    <w:p w14:paraId="3467C84B"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Activates NK cells and systemic antiviral responses</w:t>
      </w:r>
    </w:p>
    <w:p w14:paraId="0C7BC35C"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NK Cells</w:t>
      </w:r>
    </w:p>
    <w:p w14:paraId="0302594C" w14:textId="13586780"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Activated by IFN</w:t>
      </w:r>
      <w:r w:rsidRPr="004E6BDC">
        <w:rPr>
          <w:rFonts w:ascii="Times New Roman" w:eastAsiaTheme="minorHAnsi" w:hAnsi="Times New Roman" w:cs="Times New Roman"/>
          <w:b/>
          <w:bCs/>
          <w:sz w:val="28"/>
          <w:szCs w:val="28"/>
          <w:lang w:val="en-US" w:eastAsia="en-US"/>
        </w:rPr>
        <w:t xml:space="preserve"> </w:t>
      </w:r>
      <w:r w:rsidRPr="004E6BDC">
        <w:rPr>
          <w:rFonts w:ascii="Times New Roman" w:eastAsiaTheme="minorHAnsi" w:hAnsi="Times New Roman" w:cs="Times New Roman"/>
          <w:sz w:val="28"/>
          <w:szCs w:val="28"/>
          <w:lang w:val="en-US" w:eastAsia="en-US"/>
        </w:rPr>
        <w:t>and IL-12</w:t>
      </w:r>
    </w:p>
    <w:p w14:paraId="0C2866EB" w14:textId="7D5AA32B"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Produce IFN, which activates macrophages and DCs</w:t>
      </w:r>
    </w:p>
    <w:p w14:paraId="05010298"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Target and kill virus-infected cells (especially enveloped viruses)</w:t>
      </w:r>
    </w:p>
    <w:p w14:paraId="12CD34B0"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Macrophages and DCs</w:t>
      </w:r>
    </w:p>
    <w:p w14:paraId="656B065A"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Macrophages filter viral particles from blood</w:t>
      </w:r>
    </w:p>
    <w:p w14:paraId="55DF8967"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Macrophages inactivate opsonized virus particles</w:t>
      </w:r>
    </w:p>
    <w:p w14:paraId="7BA72508" w14:textId="45AEED6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lastRenderedPageBreak/>
        <w:t>Immature and plasmacytoid DCs produce IFN</w:t>
      </w:r>
      <w:r w:rsidRPr="004E6BDC">
        <w:rPr>
          <w:rFonts w:ascii="Times New Roman" w:eastAsiaTheme="minorHAnsi" w:hAnsi="Times New Roman" w:cs="Times New Roman"/>
          <w:b/>
          <w:bCs/>
          <w:sz w:val="28"/>
          <w:szCs w:val="28"/>
          <w:lang w:val="en-US" w:eastAsia="en-US"/>
        </w:rPr>
        <w:t xml:space="preserve"> </w:t>
      </w:r>
      <w:r w:rsidRPr="004E6BDC">
        <w:rPr>
          <w:rFonts w:ascii="Times New Roman" w:eastAsiaTheme="minorHAnsi" w:hAnsi="Times New Roman" w:cs="Times New Roman"/>
          <w:sz w:val="28"/>
          <w:szCs w:val="28"/>
          <w:lang w:val="en-US" w:eastAsia="en-US"/>
        </w:rPr>
        <w:t>and other cytokines</w:t>
      </w:r>
    </w:p>
    <w:p w14:paraId="5644A455"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DCs initiate and determine the nature of the CD4 and CD8 T-cell response</w:t>
      </w:r>
    </w:p>
    <w:p w14:paraId="2261379C"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DCs and macrophages present antigen to CD4 and CD8 T cells</w:t>
      </w:r>
    </w:p>
    <w:p w14:paraId="069F1046"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T Cells</w:t>
      </w:r>
    </w:p>
    <w:p w14:paraId="1F40148A"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Essential for controlling enveloped and noncytolytic viral infections</w:t>
      </w:r>
    </w:p>
    <w:p w14:paraId="7860B411"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Recognize viral peptides presented by MHC molecules on cell surfaces</w:t>
      </w:r>
    </w:p>
    <w:p w14:paraId="30E8EA63"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Antigenic viral peptides (linear epitopes) can come from any viral protein (e.g., glycoproteins, nucleoproteins)</w:t>
      </w:r>
    </w:p>
    <w:p w14:paraId="72749554"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CD4 T cells promote and regulate antiviral responses</w:t>
      </w:r>
    </w:p>
    <w:p w14:paraId="7D91AEA6"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CD8 cytotoxic T cells respond to viral peptide: class I MHC protein complexes on the infected cell surface</w:t>
      </w:r>
    </w:p>
    <w:p w14:paraId="58E60F50"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Antibody</w:t>
      </w:r>
    </w:p>
    <w:p w14:paraId="0CE65764"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Neutralizes extracellular virus:</w:t>
      </w:r>
    </w:p>
    <w:p w14:paraId="7BB35D4F"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It blocks viral attachment proteins (e.g., glycoproteins, capsid proteins)</w:t>
      </w:r>
    </w:p>
    <w:p w14:paraId="2B0F9291"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It destabilizes viral structure</w:t>
      </w:r>
    </w:p>
    <w:p w14:paraId="0F7689B0"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Opsonizes virus for phagocytosis</w:t>
      </w:r>
    </w:p>
    <w:p w14:paraId="518CE394"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Promotes killing of target cell by the complement cascade and antibody-dependent cellular cytotoxicity</w:t>
      </w:r>
    </w:p>
    <w:p w14:paraId="250378E9"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Resolves lytic viral infections</w:t>
      </w:r>
    </w:p>
    <w:p w14:paraId="11425BD0"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Blocks viremic spread to target tissue</w:t>
      </w:r>
    </w:p>
    <w:p w14:paraId="39C8F3E2"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IgM is an indicator of recent or current infection</w:t>
      </w:r>
    </w:p>
    <w:p w14:paraId="6D40FD37"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IgG is a more effective antiviral than IgM</w:t>
      </w:r>
    </w:p>
    <w:p w14:paraId="713F1832"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Secretory IgA is important for protecting mucosal surfaces</w:t>
      </w:r>
    </w:p>
    <w:p w14:paraId="1C9021B0"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Resolution requires elimination of free virus (antibody) and the virus-producing cell (viral or immune cell–mediated lysis)</w:t>
      </w:r>
    </w:p>
    <w:p w14:paraId="3D6D58BA" w14:textId="66010382" w:rsidR="00EF525B" w:rsidRPr="00233A24" w:rsidRDefault="00EF525B" w:rsidP="004E6BDC">
      <w:pPr>
        <w:autoSpaceDE w:val="0"/>
        <w:autoSpaceDN w:val="0"/>
        <w:adjustRightInd w:val="0"/>
        <w:spacing w:after="0" w:line="240" w:lineRule="auto"/>
        <w:rPr>
          <w:rFonts w:ascii="Times New Roman" w:eastAsiaTheme="minorHAnsi" w:hAnsi="Times New Roman" w:cs="Times New Roman"/>
          <w:i/>
          <w:iCs/>
          <w:sz w:val="28"/>
          <w:szCs w:val="28"/>
          <w:lang w:val="en-US" w:eastAsia="en-US"/>
        </w:rPr>
      </w:pPr>
      <w:r w:rsidRPr="00233A24">
        <w:rPr>
          <w:rFonts w:ascii="Times New Roman" w:eastAsiaTheme="minorHAnsi" w:hAnsi="Times New Roman" w:cs="Times New Roman"/>
          <w:i/>
          <w:iCs/>
          <w:sz w:val="28"/>
          <w:szCs w:val="28"/>
          <w:lang w:val="en-US" w:eastAsia="en-US"/>
        </w:rPr>
        <w:t>DC, Dendritic cell; IFN, interferon; Ig, immunoglobulin; IL, interleukin; MHC, major histocompatibility complex; NK, natural killer; RNA, ribonucleic</w:t>
      </w:r>
      <w:r w:rsidR="00233A24" w:rsidRPr="00233A24">
        <w:rPr>
          <w:rFonts w:ascii="Times New Roman" w:eastAsiaTheme="minorHAnsi" w:hAnsi="Times New Roman" w:cs="Times New Roman"/>
          <w:i/>
          <w:iCs/>
          <w:sz w:val="28"/>
          <w:szCs w:val="28"/>
          <w:lang w:val="en-US" w:eastAsia="en-US"/>
        </w:rPr>
        <w:t xml:space="preserve"> </w:t>
      </w:r>
      <w:r w:rsidRPr="00233A24">
        <w:rPr>
          <w:rFonts w:ascii="Times New Roman" w:eastAsiaTheme="minorHAnsi" w:hAnsi="Times New Roman" w:cs="Times New Roman"/>
          <w:i/>
          <w:iCs/>
          <w:sz w:val="28"/>
          <w:szCs w:val="28"/>
          <w:lang w:val="en-US" w:eastAsia="en-US"/>
        </w:rPr>
        <w:t>acid.</w:t>
      </w:r>
    </w:p>
    <w:p w14:paraId="26F1AD5D"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2094A1CD" w14:textId="46D0C58B"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Induction of the antiviral state by interferon (IFN)</w:t>
      </w:r>
      <w:r w:rsidR="006D0C80">
        <w:rPr>
          <w:rFonts w:ascii="Times New Roman" w:eastAsiaTheme="minorHAnsi" w:hAnsi="Times New Roman" w:cs="Times New Roman"/>
          <w:b/>
          <w:bCs/>
          <w:i/>
          <w:iCs/>
          <w:sz w:val="28"/>
          <w:szCs w:val="28"/>
          <w:lang w:val="en-US" w:eastAsia="en-US"/>
        </w:rPr>
        <w:t xml:space="preserve"> α </w:t>
      </w:r>
      <w:r w:rsidRPr="004E6BDC">
        <w:rPr>
          <w:rFonts w:ascii="Times New Roman" w:eastAsiaTheme="minorHAnsi" w:hAnsi="Times New Roman" w:cs="Times New Roman"/>
          <w:b/>
          <w:bCs/>
          <w:i/>
          <w:iCs/>
          <w:sz w:val="28"/>
          <w:szCs w:val="28"/>
          <w:lang w:val="en-US" w:eastAsia="en-US"/>
        </w:rPr>
        <w:t>or IFN</w:t>
      </w:r>
      <w:r w:rsidR="006D0C80">
        <w:rPr>
          <w:rFonts w:ascii="Times New Roman" w:eastAsiaTheme="minorHAnsi" w:hAnsi="Times New Roman" w:cs="Times New Roman"/>
          <w:b/>
          <w:bCs/>
          <w:i/>
          <w:iCs/>
          <w:sz w:val="28"/>
          <w:szCs w:val="28"/>
          <w:lang w:val="en-US" w:eastAsia="en-US"/>
        </w:rPr>
        <w:t xml:space="preserve"> β</w:t>
      </w:r>
      <w:r w:rsidRPr="004E6BDC">
        <w:rPr>
          <w:rFonts w:ascii="Times New Roman" w:eastAsiaTheme="minorHAnsi" w:hAnsi="Times New Roman" w:cs="Times New Roman"/>
          <w:b/>
          <w:bCs/>
          <w:i/>
          <w:iCs/>
          <w:sz w:val="28"/>
          <w:szCs w:val="28"/>
          <w:lang w:val="en-US" w:eastAsia="en-US"/>
        </w:rPr>
        <w:t>. Interferon is produced in response to viral infection but does not protect the initially infected cell. The interferon binds to a cell-surface receptor on other cells and induces production of antiviral enzymes (antiviral state). Viral infection and production of double-stranded RNA activates the antiviral activity, which results in protein synthesis inhibition. MHC I, Major histocompatibility antigen type I.</w:t>
      </w:r>
    </w:p>
    <w:p w14:paraId="01100739"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lastRenderedPageBreak/>
        <w:drawing>
          <wp:inline distT="0" distB="0" distL="0" distR="0" wp14:anchorId="6C3D624D" wp14:editId="09F119B0">
            <wp:extent cx="2552831" cy="3359323"/>
            <wp:effectExtent l="0" t="0" r="0" b="0"/>
            <wp:docPr id="55500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08117" name=""/>
                    <pic:cNvPicPr/>
                  </pic:nvPicPr>
                  <pic:blipFill>
                    <a:blip r:embed="rId21"/>
                    <a:stretch>
                      <a:fillRect/>
                    </a:stretch>
                  </pic:blipFill>
                  <pic:spPr>
                    <a:xfrm>
                      <a:off x="0" y="0"/>
                      <a:ext cx="2552831" cy="3359323"/>
                    </a:xfrm>
                    <a:prstGeom prst="rect">
                      <a:avLst/>
                    </a:prstGeom>
                  </pic:spPr>
                </pic:pic>
              </a:graphicData>
            </a:graphic>
          </wp:inline>
        </w:drawing>
      </w:r>
    </w:p>
    <w:p w14:paraId="5EF1CFB3"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7DB9F67E" w14:textId="2C68D935" w:rsidR="00EF525B" w:rsidRPr="00233A24"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eastAsia="en-US"/>
        </w:rPr>
      </w:pPr>
      <w:r w:rsidRPr="00233A24">
        <w:rPr>
          <w:rFonts w:ascii="Times New Roman" w:eastAsiaTheme="minorHAnsi" w:hAnsi="Times New Roman" w:cs="Times New Roman"/>
          <w:b/>
          <w:bCs/>
          <w:i/>
          <w:iCs/>
          <w:sz w:val="28"/>
          <w:szCs w:val="28"/>
          <w:lang w:val="en-US" w:eastAsia="en-US"/>
        </w:rPr>
        <w:t xml:space="preserve">Time course of antiviral immune responses. CTL, Cytotoxic T </w:t>
      </w:r>
      <w:proofErr w:type="spellStart"/>
      <w:r w:rsidRPr="00233A24">
        <w:rPr>
          <w:rFonts w:ascii="Times New Roman" w:eastAsiaTheme="minorHAnsi" w:hAnsi="Times New Roman" w:cs="Times New Roman"/>
          <w:b/>
          <w:bCs/>
          <w:i/>
          <w:iCs/>
          <w:sz w:val="28"/>
          <w:szCs w:val="28"/>
          <w:lang w:val="en-US" w:eastAsia="en-US"/>
        </w:rPr>
        <w:t>lympho</w:t>
      </w:r>
      <w:proofErr w:type="spellEnd"/>
      <w:r w:rsidRPr="00233A24">
        <w:rPr>
          <w:rFonts w:ascii="Times New Roman" w:eastAsiaTheme="minorHAnsi" w:hAnsi="Times New Roman" w:cs="Times New Roman"/>
          <w:b/>
          <w:bCs/>
          <w:i/>
          <w:iCs/>
          <w:sz w:val="28"/>
          <w:szCs w:val="28"/>
          <w:lang w:val="en-US" w:eastAsia="en-US"/>
        </w:rPr>
        <w:t xml:space="preserve"> </w:t>
      </w:r>
      <w:proofErr w:type="spellStart"/>
      <w:r w:rsidRPr="00233A24">
        <w:rPr>
          <w:rFonts w:ascii="Times New Roman" w:eastAsiaTheme="minorHAnsi" w:hAnsi="Times New Roman" w:cs="Times New Roman"/>
          <w:b/>
          <w:bCs/>
          <w:i/>
          <w:iCs/>
          <w:sz w:val="28"/>
          <w:szCs w:val="28"/>
          <w:lang w:val="en-US" w:eastAsia="en-US"/>
        </w:rPr>
        <w:t>cyte</w:t>
      </w:r>
      <w:proofErr w:type="spellEnd"/>
      <w:r w:rsidRPr="00233A24">
        <w:rPr>
          <w:rFonts w:ascii="Times New Roman" w:eastAsiaTheme="minorHAnsi" w:hAnsi="Times New Roman" w:cs="Times New Roman"/>
          <w:b/>
          <w:bCs/>
          <w:i/>
          <w:iCs/>
          <w:sz w:val="28"/>
          <w:szCs w:val="28"/>
          <w:lang w:val="en-US" w:eastAsia="en-US"/>
        </w:rPr>
        <w:t>; IFN,</w:t>
      </w:r>
      <w:r w:rsidR="00233A24">
        <w:rPr>
          <w:rFonts w:ascii="Times New Roman" w:eastAsiaTheme="minorHAnsi" w:hAnsi="Times New Roman" w:cs="Times New Roman"/>
          <w:b/>
          <w:bCs/>
          <w:i/>
          <w:iCs/>
          <w:sz w:val="28"/>
          <w:szCs w:val="28"/>
          <w:lang w:val="en-US" w:eastAsia="en-US"/>
        </w:rPr>
        <w:t xml:space="preserve"> </w:t>
      </w:r>
      <w:r w:rsidRPr="00233A24">
        <w:rPr>
          <w:rFonts w:ascii="Times New Roman" w:eastAsiaTheme="minorHAnsi" w:hAnsi="Times New Roman" w:cs="Times New Roman"/>
          <w:b/>
          <w:bCs/>
          <w:i/>
          <w:iCs/>
          <w:sz w:val="28"/>
          <w:szCs w:val="28"/>
          <w:lang w:val="en-US" w:eastAsia="en-US"/>
        </w:rPr>
        <w:t xml:space="preserve">interferon. (Modified from Abbas, A.K., Lichtman, A.H., Pillai, S., et al., 2015. Cellular and Molecular Immunology, eighth ed. </w:t>
      </w:r>
      <w:r w:rsidRPr="00233A24">
        <w:rPr>
          <w:rFonts w:ascii="Times New Roman" w:eastAsiaTheme="minorHAnsi" w:hAnsi="Times New Roman" w:cs="Times New Roman"/>
          <w:b/>
          <w:bCs/>
          <w:i/>
          <w:iCs/>
          <w:sz w:val="28"/>
          <w:szCs w:val="28"/>
          <w:lang w:eastAsia="en-US"/>
        </w:rPr>
        <w:t>Elsevier, Philadelphia, PA.)</w:t>
      </w:r>
    </w:p>
    <w:p w14:paraId="62323DBA"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drawing>
          <wp:inline distT="0" distB="0" distL="0" distR="0" wp14:anchorId="01733634" wp14:editId="194E1ED5">
            <wp:extent cx="3600450" cy="3100387"/>
            <wp:effectExtent l="0" t="0" r="0" b="5080"/>
            <wp:docPr id="432269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69586" name=""/>
                    <pic:cNvPicPr/>
                  </pic:nvPicPr>
                  <pic:blipFill>
                    <a:blip r:embed="rId22"/>
                    <a:stretch>
                      <a:fillRect/>
                    </a:stretch>
                  </pic:blipFill>
                  <pic:spPr>
                    <a:xfrm>
                      <a:off x="0" y="0"/>
                      <a:ext cx="3625270" cy="3121760"/>
                    </a:xfrm>
                    <a:prstGeom prst="rect">
                      <a:avLst/>
                    </a:prstGeom>
                  </pic:spPr>
                </pic:pic>
              </a:graphicData>
            </a:graphic>
          </wp:inline>
        </w:drawing>
      </w:r>
    </w:p>
    <w:p w14:paraId="3C76EF73"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39CCD150" w14:textId="77777777" w:rsidR="00EF525B" w:rsidRPr="00233A24"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233A24">
        <w:rPr>
          <w:rFonts w:ascii="Times New Roman" w:eastAsiaTheme="minorHAnsi" w:hAnsi="Times New Roman" w:cs="Times New Roman"/>
          <w:b/>
          <w:bCs/>
          <w:i/>
          <w:iCs/>
          <w:sz w:val="28"/>
          <w:szCs w:val="28"/>
          <w:lang w:val="en-US" w:eastAsia="en-US"/>
        </w:rPr>
        <w:t>Examples of Viral Evasion of Immune Responses</w:t>
      </w:r>
    </w:p>
    <w:p w14:paraId="0186CF4B"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lastRenderedPageBreak/>
        <w:drawing>
          <wp:inline distT="0" distB="0" distL="0" distR="0" wp14:anchorId="79C7A5FB" wp14:editId="0A2A3BB6">
            <wp:extent cx="6001028" cy="4719995"/>
            <wp:effectExtent l="0" t="0" r="0" b="4445"/>
            <wp:docPr id="35294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46460" name=""/>
                    <pic:cNvPicPr/>
                  </pic:nvPicPr>
                  <pic:blipFill>
                    <a:blip r:embed="rId23"/>
                    <a:stretch>
                      <a:fillRect/>
                    </a:stretch>
                  </pic:blipFill>
                  <pic:spPr>
                    <a:xfrm>
                      <a:off x="0" y="0"/>
                      <a:ext cx="6021640" cy="4736207"/>
                    </a:xfrm>
                    <a:prstGeom prst="rect">
                      <a:avLst/>
                    </a:prstGeom>
                  </pic:spPr>
                </pic:pic>
              </a:graphicData>
            </a:graphic>
          </wp:inline>
        </w:drawing>
      </w:r>
    </w:p>
    <w:p w14:paraId="2BCB32EF"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2D6DC7A1"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4E6BDC">
        <w:rPr>
          <w:rFonts w:ascii="Times New Roman" w:eastAsiaTheme="minorHAnsi" w:hAnsi="Times New Roman" w:cs="Times New Roman"/>
          <w:b/>
          <w:bCs/>
          <w:sz w:val="28"/>
          <w:szCs w:val="28"/>
          <w:lang w:val="en-US" w:eastAsia="en-US"/>
        </w:rPr>
        <w:t>Summary of Antiparasitic Responses</w:t>
      </w:r>
    </w:p>
    <w:p w14:paraId="6790316F"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Different immune responses are necessary depending on the nature of the parasite and the replicative stage.</w:t>
      </w:r>
    </w:p>
    <w:p w14:paraId="21C54B87"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Many parasites have multiple tricks to evade immune responses.</w:t>
      </w:r>
    </w:p>
    <w:p w14:paraId="28EF2DE5"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b/>
          <w:bCs/>
          <w:sz w:val="28"/>
          <w:szCs w:val="28"/>
          <w:lang w:val="en-US" w:eastAsia="en-US"/>
        </w:rPr>
        <w:t xml:space="preserve">TH2 responses, </w:t>
      </w:r>
      <w:r w:rsidRPr="004E6BDC">
        <w:rPr>
          <w:rFonts w:ascii="Times New Roman" w:eastAsiaTheme="minorHAnsi" w:hAnsi="Times New Roman" w:cs="Times New Roman"/>
          <w:sz w:val="28"/>
          <w:szCs w:val="28"/>
          <w:lang w:val="en-US" w:eastAsia="en-US"/>
        </w:rPr>
        <w:t>through IgG and IgA, are important for preventing parasite binding to tissue, to block binding and entry into cells, to activate complement, and as an opsonin.</w:t>
      </w:r>
    </w:p>
    <w:p w14:paraId="7AC07857"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roofErr w:type="spellStart"/>
      <w:r w:rsidRPr="004E6BDC">
        <w:rPr>
          <w:rFonts w:ascii="Times New Roman" w:eastAsiaTheme="minorHAnsi" w:hAnsi="Times New Roman" w:cs="Times New Roman"/>
          <w:sz w:val="28"/>
          <w:szCs w:val="28"/>
          <w:lang w:val="en-US" w:eastAsia="en-US"/>
        </w:rPr>
        <w:t>IgE</w:t>
      </w:r>
      <w:proofErr w:type="spellEnd"/>
      <w:r w:rsidRPr="004E6BDC">
        <w:rPr>
          <w:rFonts w:ascii="Times New Roman" w:eastAsiaTheme="minorHAnsi" w:hAnsi="Times New Roman" w:cs="Times New Roman"/>
          <w:sz w:val="28"/>
          <w:szCs w:val="28"/>
          <w:lang w:val="en-US" w:eastAsia="en-US"/>
        </w:rPr>
        <w:t xml:space="preserve"> bound to mast cells and eosinophils binds parasite and parasite antigen, and releases histamine and toxic substances to promote expulsion.</w:t>
      </w:r>
    </w:p>
    <w:p w14:paraId="44D58CC1"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sz w:val="28"/>
          <w:szCs w:val="28"/>
          <w:lang w:val="en-US" w:eastAsia="en-US"/>
        </w:rPr>
        <w:t>TH2 responses activate mucus secretion into colon to promote expulsion.</w:t>
      </w:r>
    </w:p>
    <w:p w14:paraId="4F85985C"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b/>
          <w:bCs/>
          <w:sz w:val="28"/>
          <w:szCs w:val="28"/>
          <w:lang w:val="en-US" w:eastAsia="en-US"/>
        </w:rPr>
        <w:t xml:space="preserve">TH1 responses </w:t>
      </w:r>
      <w:r w:rsidRPr="004E6BDC">
        <w:rPr>
          <w:rFonts w:ascii="Times New Roman" w:eastAsiaTheme="minorHAnsi" w:hAnsi="Times New Roman" w:cs="Times New Roman"/>
          <w:sz w:val="28"/>
          <w:szCs w:val="28"/>
          <w:lang w:val="en-US" w:eastAsia="en-US"/>
        </w:rPr>
        <w:t xml:space="preserve">are especially important for intracellular infections </w:t>
      </w:r>
      <w:r w:rsidRPr="004E6BDC">
        <w:rPr>
          <w:rFonts w:ascii="Times New Roman" w:eastAsiaTheme="minorHAnsi" w:hAnsi="Times New Roman" w:cs="Times New Roman"/>
          <w:i/>
          <w:iCs/>
          <w:sz w:val="28"/>
          <w:szCs w:val="28"/>
          <w:lang w:val="en-US" w:eastAsia="en-US"/>
        </w:rPr>
        <w:t xml:space="preserve">(Leishmania) </w:t>
      </w:r>
      <w:r w:rsidRPr="004E6BDC">
        <w:rPr>
          <w:rFonts w:ascii="Times New Roman" w:eastAsiaTheme="minorHAnsi" w:hAnsi="Times New Roman" w:cs="Times New Roman"/>
          <w:sz w:val="28"/>
          <w:szCs w:val="28"/>
          <w:lang w:val="en-US" w:eastAsia="en-US"/>
        </w:rPr>
        <w:t>but promote inflammation.</w:t>
      </w:r>
    </w:p>
    <w:p w14:paraId="5332EFDE"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i/>
          <w:iCs/>
          <w:sz w:val="28"/>
          <w:szCs w:val="28"/>
          <w:lang w:val="en-US" w:eastAsia="en-US"/>
        </w:rPr>
      </w:pPr>
      <w:r w:rsidRPr="004E6BDC">
        <w:rPr>
          <w:rFonts w:ascii="Times New Roman" w:eastAsiaTheme="minorHAnsi" w:hAnsi="Times New Roman" w:cs="Times New Roman"/>
          <w:sz w:val="28"/>
          <w:szCs w:val="28"/>
          <w:lang w:val="en-US" w:eastAsia="en-US"/>
        </w:rPr>
        <w:t xml:space="preserve">Granuloma formation is important for intracellular infections </w:t>
      </w:r>
      <w:r w:rsidRPr="004E6BDC">
        <w:rPr>
          <w:rFonts w:ascii="Times New Roman" w:eastAsiaTheme="minorHAnsi" w:hAnsi="Times New Roman" w:cs="Times New Roman"/>
          <w:i/>
          <w:iCs/>
          <w:sz w:val="28"/>
          <w:szCs w:val="28"/>
          <w:lang w:val="en-US" w:eastAsia="en-US"/>
        </w:rPr>
        <w:t>(Schistosoma).</w:t>
      </w:r>
    </w:p>
    <w:p w14:paraId="6428E772"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b/>
          <w:bCs/>
          <w:sz w:val="28"/>
          <w:szCs w:val="28"/>
          <w:lang w:val="en-US" w:eastAsia="en-US"/>
        </w:rPr>
        <w:t xml:space="preserve">TH17 responses </w:t>
      </w:r>
      <w:r w:rsidRPr="004E6BDC">
        <w:rPr>
          <w:rFonts w:ascii="Times New Roman" w:eastAsiaTheme="minorHAnsi" w:hAnsi="Times New Roman" w:cs="Times New Roman"/>
          <w:sz w:val="28"/>
          <w:szCs w:val="28"/>
          <w:lang w:val="en-US" w:eastAsia="en-US"/>
        </w:rPr>
        <w:t>reinforce epithelial and neutrophil action for extracellular parasites.</w:t>
      </w:r>
    </w:p>
    <w:p w14:paraId="1043EB6A"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i/>
          <w:iCs/>
          <w:sz w:val="28"/>
          <w:szCs w:val="28"/>
          <w:lang w:val="en-US" w:eastAsia="en-US"/>
        </w:rPr>
        <w:t xml:space="preserve">Ig, </w:t>
      </w:r>
      <w:r w:rsidRPr="004E6BDC">
        <w:rPr>
          <w:rFonts w:ascii="Times New Roman" w:eastAsiaTheme="minorHAnsi" w:hAnsi="Times New Roman" w:cs="Times New Roman"/>
          <w:sz w:val="28"/>
          <w:szCs w:val="28"/>
          <w:lang w:val="en-US" w:eastAsia="en-US"/>
        </w:rPr>
        <w:t xml:space="preserve">Immunoglobulin; </w:t>
      </w:r>
      <w:r w:rsidRPr="004E6BDC">
        <w:rPr>
          <w:rFonts w:ascii="Times New Roman" w:eastAsiaTheme="minorHAnsi" w:hAnsi="Times New Roman" w:cs="Times New Roman"/>
          <w:i/>
          <w:iCs/>
          <w:sz w:val="28"/>
          <w:szCs w:val="28"/>
          <w:lang w:val="en-US" w:eastAsia="en-US"/>
        </w:rPr>
        <w:t xml:space="preserve">TH, </w:t>
      </w:r>
      <w:r w:rsidRPr="004E6BDC">
        <w:rPr>
          <w:rFonts w:ascii="Times New Roman" w:eastAsiaTheme="minorHAnsi" w:hAnsi="Times New Roman" w:cs="Times New Roman"/>
          <w:sz w:val="28"/>
          <w:szCs w:val="28"/>
          <w:lang w:val="en-US" w:eastAsia="en-US"/>
        </w:rPr>
        <w:t>T helper (cell).</w:t>
      </w:r>
    </w:p>
    <w:p w14:paraId="18AB03AC" w14:textId="77777777" w:rsidR="00EF525B" w:rsidRPr="00233A24"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p>
    <w:p w14:paraId="73B89FDE" w14:textId="77777777" w:rsidR="00EF525B" w:rsidRPr="00233A24"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eastAsia="en-US"/>
        </w:rPr>
      </w:pPr>
      <w:r w:rsidRPr="00233A24">
        <w:rPr>
          <w:rFonts w:ascii="Times New Roman" w:eastAsiaTheme="minorHAnsi" w:hAnsi="Times New Roman" w:cs="Times New Roman"/>
          <w:b/>
          <w:bCs/>
          <w:i/>
          <w:iCs/>
          <w:sz w:val="28"/>
          <w:szCs w:val="28"/>
          <w:lang w:eastAsia="en-US"/>
        </w:rPr>
        <w:t>Examples of Antiparasitic Immune Responses</w:t>
      </w:r>
    </w:p>
    <w:p w14:paraId="0CDA054E"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r w:rsidRPr="004E6BDC">
        <w:rPr>
          <w:rFonts w:ascii="Times New Roman" w:hAnsi="Times New Roman" w:cs="Times New Roman"/>
          <w:b/>
          <w:bCs/>
          <w:i/>
          <w:iCs/>
          <w:noProof/>
          <w:sz w:val="28"/>
          <w:szCs w:val="28"/>
          <w:lang w:val="en-US"/>
        </w:rPr>
        <w:lastRenderedPageBreak/>
        <w:drawing>
          <wp:inline distT="0" distB="0" distL="0" distR="0" wp14:anchorId="1C2D8B6C" wp14:editId="3BD20BCE">
            <wp:extent cx="6211519" cy="2794000"/>
            <wp:effectExtent l="0" t="0" r="0" b="6350"/>
            <wp:docPr id="206488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87313" name=""/>
                    <pic:cNvPicPr/>
                  </pic:nvPicPr>
                  <pic:blipFill>
                    <a:blip r:embed="rId24"/>
                    <a:stretch>
                      <a:fillRect/>
                    </a:stretch>
                  </pic:blipFill>
                  <pic:spPr>
                    <a:xfrm>
                      <a:off x="0" y="0"/>
                      <a:ext cx="6221089" cy="2798305"/>
                    </a:xfrm>
                    <a:prstGeom prst="rect">
                      <a:avLst/>
                    </a:prstGeom>
                  </pic:spPr>
                </pic:pic>
              </a:graphicData>
            </a:graphic>
          </wp:inline>
        </w:drawing>
      </w:r>
    </w:p>
    <w:p w14:paraId="230A4C57"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lang w:val="en-US"/>
        </w:rPr>
      </w:pPr>
    </w:p>
    <w:p w14:paraId="5D1F78A0" w14:textId="77777777" w:rsidR="00EF525B" w:rsidRPr="004E6BDC" w:rsidRDefault="00EF525B" w:rsidP="004E6BDC">
      <w:pPr>
        <w:autoSpaceDE w:val="0"/>
        <w:autoSpaceDN w:val="0"/>
        <w:adjustRightInd w:val="0"/>
        <w:spacing w:after="0" w:line="240" w:lineRule="auto"/>
        <w:rPr>
          <w:rFonts w:ascii="Times New Roman" w:eastAsiaTheme="minorHAnsi" w:hAnsi="Times New Roman" w:cs="Times New Roman"/>
          <w:b/>
          <w:bCs/>
          <w:i/>
          <w:iCs/>
          <w:sz w:val="28"/>
          <w:szCs w:val="28"/>
          <w:lang w:eastAsia="en-US"/>
        </w:rPr>
      </w:pPr>
      <w:r w:rsidRPr="004E6BDC">
        <w:rPr>
          <w:rFonts w:ascii="Times New Roman" w:eastAsiaTheme="minorHAnsi" w:hAnsi="Times New Roman" w:cs="Times New Roman"/>
          <w:b/>
          <w:bCs/>
          <w:i/>
          <w:iCs/>
          <w:sz w:val="28"/>
          <w:szCs w:val="28"/>
          <w:lang w:val="en-US" w:eastAsia="en-US"/>
        </w:rPr>
        <w:t>Elimination of nematodes from the gut. TH2 responses are important for stimulating the production of antibody. Antibody can damage the worm. Antigen binding to immunoglobulin E (</w:t>
      </w:r>
      <w:proofErr w:type="spellStart"/>
      <w:r w:rsidRPr="004E6BDC">
        <w:rPr>
          <w:rFonts w:ascii="Times New Roman" w:eastAsiaTheme="minorHAnsi" w:hAnsi="Times New Roman" w:cs="Times New Roman"/>
          <w:b/>
          <w:bCs/>
          <w:i/>
          <w:iCs/>
          <w:sz w:val="28"/>
          <w:szCs w:val="28"/>
          <w:lang w:val="en-US" w:eastAsia="en-US"/>
        </w:rPr>
        <w:t>IgE</w:t>
      </w:r>
      <w:proofErr w:type="spellEnd"/>
      <w:r w:rsidRPr="004E6BDC">
        <w:rPr>
          <w:rFonts w:ascii="Times New Roman" w:eastAsiaTheme="minorHAnsi" w:hAnsi="Times New Roman" w:cs="Times New Roman"/>
          <w:b/>
          <w:bCs/>
          <w:i/>
          <w:iCs/>
          <w:sz w:val="28"/>
          <w:szCs w:val="28"/>
          <w:lang w:val="en-US" w:eastAsia="en-US"/>
        </w:rPr>
        <w:t xml:space="preserve">) bound to mast cells triggers release of histamine and toxic substances. Increased mucus secretion also promotes expulsion. IL, Interleukin; TH, T helper (cell); TNF, tumor necrosis factor. (From </w:t>
      </w:r>
      <w:proofErr w:type="spellStart"/>
      <w:r w:rsidRPr="004E6BDC">
        <w:rPr>
          <w:rFonts w:ascii="Times New Roman" w:eastAsiaTheme="minorHAnsi" w:hAnsi="Times New Roman" w:cs="Times New Roman"/>
          <w:b/>
          <w:bCs/>
          <w:i/>
          <w:iCs/>
          <w:sz w:val="28"/>
          <w:szCs w:val="28"/>
          <w:lang w:val="en-US" w:eastAsia="en-US"/>
        </w:rPr>
        <w:t>Roitt</w:t>
      </w:r>
      <w:proofErr w:type="spellEnd"/>
      <w:r w:rsidRPr="004E6BDC">
        <w:rPr>
          <w:rFonts w:ascii="Times New Roman" w:eastAsiaTheme="minorHAnsi" w:hAnsi="Times New Roman" w:cs="Times New Roman"/>
          <w:b/>
          <w:bCs/>
          <w:i/>
          <w:iCs/>
          <w:sz w:val="28"/>
          <w:szCs w:val="28"/>
          <w:lang w:val="en-US" w:eastAsia="en-US"/>
        </w:rPr>
        <w:t xml:space="preserve">, I., </w:t>
      </w:r>
      <w:proofErr w:type="spellStart"/>
      <w:r w:rsidRPr="004E6BDC">
        <w:rPr>
          <w:rFonts w:ascii="Times New Roman" w:eastAsiaTheme="minorHAnsi" w:hAnsi="Times New Roman" w:cs="Times New Roman"/>
          <w:b/>
          <w:bCs/>
          <w:i/>
          <w:iCs/>
          <w:sz w:val="28"/>
          <w:szCs w:val="28"/>
          <w:lang w:val="en-US" w:eastAsia="en-US"/>
        </w:rPr>
        <w:t>Brostoff</w:t>
      </w:r>
      <w:proofErr w:type="spellEnd"/>
      <w:r w:rsidRPr="004E6BDC">
        <w:rPr>
          <w:rFonts w:ascii="Times New Roman" w:eastAsiaTheme="minorHAnsi" w:hAnsi="Times New Roman" w:cs="Times New Roman"/>
          <w:b/>
          <w:bCs/>
          <w:i/>
          <w:iCs/>
          <w:sz w:val="28"/>
          <w:szCs w:val="28"/>
          <w:lang w:val="en-US" w:eastAsia="en-US"/>
        </w:rPr>
        <w:t xml:space="preserve">, J., Male, D., et al., 1996. Immunology, fourth ed. </w:t>
      </w:r>
      <w:r w:rsidRPr="004E6BDC">
        <w:rPr>
          <w:rFonts w:ascii="Times New Roman" w:eastAsiaTheme="minorHAnsi" w:hAnsi="Times New Roman" w:cs="Times New Roman"/>
          <w:b/>
          <w:bCs/>
          <w:i/>
          <w:iCs/>
          <w:sz w:val="28"/>
          <w:szCs w:val="28"/>
          <w:lang w:eastAsia="en-US"/>
        </w:rPr>
        <w:t>Mosby, St Louis, MO.)</w:t>
      </w:r>
    </w:p>
    <w:p w14:paraId="1B6375DB"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rPr>
      </w:pPr>
      <w:r w:rsidRPr="004E6BDC">
        <w:rPr>
          <w:rFonts w:ascii="Times New Roman" w:hAnsi="Times New Roman" w:cs="Times New Roman"/>
          <w:b/>
          <w:bCs/>
          <w:i/>
          <w:iCs/>
          <w:noProof/>
          <w:sz w:val="28"/>
          <w:szCs w:val="28"/>
        </w:rPr>
        <w:drawing>
          <wp:inline distT="0" distB="0" distL="0" distR="0" wp14:anchorId="35C96FCE" wp14:editId="5B760C16">
            <wp:extent cx="2927350" cy="3299077"/>
            <wp:effectExtent l="0" t="0" r="6350" b="0"/>
            <wp:docPr id="192334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46440" name=""/>
                    <pic:cNvPicPr/>
                  </pic:nvPicPr>
                  <pic:blipFill>
                    <a:blip r:embed="rId25"/>
                    <a:stretch>
                      <a:fillRect/>
                    </a:stretch>
                  </pic:blipFill>
                  <pic:spPr>
                    <a:xfrm>
                      <a:off x="0" y="0"/>
                      <a:ext cx="2935960" cy="3308781"/>
                    </a:xfrm>
                    <a:prstGeom prst="rect">
                      <a:avLst/>
                    </a:prstGeom>
                  </pic:spPr>
                </pic:pic>
              </a:graphicData>
            </a:graphic>
          </wp:inline>
        </w:drawing>
      </w:r>
    </w:p>
    <w:p w14:paraId="51AD2355"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rPr>
      </w:pPr>
    </w:p>
    <w:p w14:paraId="7A31465F" w14:textId="77777777" w:rsidR="00EF525B" w:rsidRPr="004E6BDC" w:rsidRDefault="00EF525B" w:rsidP="004E6BDC">
      <w:pPr>
        <w:autoSpaceDE w:val="0"/>
        <w:autoSpaceDN w:val="0"/>
        <w:adjustRightInd w:val="0"/>
        <w:spacing w:after="0" w:line="240" w:lineRule="auto"/>
        <w:rPr>
          <w:rFonts w:ascii="Times New Roman" w:hAnsi="Times New Roman" w:cs="Times New Roman"/>
          <w:b/>
          <w:bCs/>
          <w:i/>
          <w:iCs/>
          <w:sz w:val="28"/>
          <w:szCs w:val="28"/>
        </w:rPr>
      </w:pPr>
    </w:p>
    <w:p w14:paraId="2B7D1475" w14:textId="694090E6" w:rsidR="002B493C" w:rsidRPr="006D0C80" w:rsidRDefault="001872FD" w:rsidP="004E6BDC">
      <w:pPr>
        <w:autoSpaceDE w:val="0"/>
        <w:autoSpaceDN w:val="0"/>
        <w:adjustRightInd w:val="0"/>
        <w:spacing w:after="0" w:line="240" w:lineRule="auto"/>
        <w:rPr>
          <w:rFonts w:ascii="Times New Roman" w:eastAsiaTheme="minorHAnsi" w:hAnsi="Times New Roman" w:cs="Times New Roman"/>
          <w:b/>
          <w:bCs/>
          <w:i/>
          <w:iCs/>
          <w:sz w:val="28"/>
          <w:szCs w:val="28"/>
          <w:lang w:eastAsia="en-US"/>
        </w:rPr>
      </w:pPr>
      <w:r w:rsidRPr="006D0C80">
        <w:rPr>
          <w:rFonts w:ascii="Times New Roman" w:eastAsiaTheme="minorHAnsi" w:hAnsi="Times New Roman" w:cs="Times New Roman"/>
          <w:b/>
          <w:bCs/>
          <w:i/>
          <w:iCs/>
          <w:sz w:val="28"/>
          <w:szCs w:val="28"/>
          <w:lang w:eastAsia="en-US"/>
        </w:rPr>
        <w:t>Hypersensitivity Reactions</w:t>
      </w:r>
    </w:p>
    <w:p w14:paraId="3F6598E5" w14:textId="63E08C2D"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az-Latn-AZ" w:eastAsia="en-US"/>
        </w:rPr>
      </w:pPr>
      <w:r w:rsidRPr="004E6BDC">
        <w:rPr>
          <w:rFonts w:ascii="Times New Roman" w:eastAsiaTheme="minorHAnsi" w:hAnsi="Times New Roman" w:cs="Times New Roman"/>
          <w:noProof/>
          <w:sz w:val="28"/>
          <w:szCs w:val="28"/>
          <w:lang w:val="az-Latn-AZ" w:eastAsia="en-US"/>
        </w:rPr>
        <w:lastRenderedPageBreak/>
        <w:drawing>
          <wp:inline distT="0" distB="0" distL="0" distR="0" wp14:anchorId="386E7EE7" wp14:editId="7F2F8494">
            <wp:extent cx="6177817" cy="2387600"/>
            <wp:effectExtent l="0" t="0" r="0" b="0"/>
            <wp:docPr id="200730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04076" name=""/>
                    <pic:cNvPicPr/>
                  </pic:nvPicPr>
                  <pic:blipFill>
                    <a:blip r:embed="rId26"/>
                    <a:stretch>
                      <a:fillRect/>
                    </a:stretch>
                  </pic:blipFill>
                  <pic:spPr>
                    <a:xfrm>
                      <a:off x="0" y="0"/>
                      <a:ext cx="6182243" cy="2389311"/>
                    </a:xfrm>
                    <a:prstGeom prst="rect">
                      <a:avLst/>
                    </a:prstGeom>
                  </pic:spPr>
                </pic:pic>
              </a:graphicData>
            </a:graphic>
          </wp:inline>
        </w:drawing>
      </w:r>
    </w:p>
    <w:p w14:paraId="164BCD8A" w14:textId="77777777"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az-Latn-AZ" w:eastAsia="en-US"/>
        </w:rPr>
      </w:pPr>
    </w:p>
    <w:p w14:paraId="56229D5C" w14:textId="094C88A6" w:rsidR="001872FD" w:rsidRDefault="001872FD"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Type I hypersensitivity: immunoglobulin E (</w:t>
      </w:r>
      <w:proofErr w:type="spellStart"/>
      <w:r w:rsidRPr="004E6BDC">
        <w:rPr>
          <w:rFonts w:ascii="Times New Roman" w:eastAsiaTheme="minorHAnsi" w:hAnsi="Times New Roman" w:cs="Times New Roman"/>
          <w:b/>
          <w:bCs/>
          <w:i/>
          <w:iCs/>
          <w:sz w:val="28"/>
          <w:szCs w:val="28"/>
          <w:lang w:val="en-US" w:eastAsia="en-US"/>
        </w:rPr>
        <w:t>IgE</w:t>
      </w:r>
      <w:proofErr w:type="spellEnd"/>
      <w:r w:rsidRPr="004E6BDC">
        <w:rPr>
          <w:rFonts w:ascii="Times New Roman" w:eastAsiaTheme="minorHAnsi" w:hAnsi="Times New Roman" w:cs="Times New Roman"/>
          <w:b/>
          <w:bCs/>
          <w:i/>
          <w:iCs/>
          <w:sz w:val="28"/>
          <w:szCs w:val="28"/>
          <w:lang w:val="en-US" w:eastAsia="en-US"/>
        </w:rPr>
        <w:t xml:space="preserve">)–mediated atopic and anaphylactic reactions. </w:t>
      </w:r>
      <w:proofErr w:type="spellStart"/>
      <w:r w:rsidRPr="004E6BDC">
        <w:rPr>
          <w:rFonts w:ascii="Times New Roman" w:eastAsiaTheme="minorHAnsi" w:hAnsi="Times New Roman" w:cs="Times New Roman"/>
          <w:b/>
          <w:bCs/>
          <w:i/>
          <w:iCs/>
          <w:sz w:val="28"/>
          <w:szCs w:val="28"/>
          <w:lang w:val="en-US" w:eastAsia="en-US"/>
        </w:rPr>
        <w:t>IgE</w:t>
      </w:r>
      <w:proofErr w:type="spellEnd"/>
      <w:r w:rsidRPr="004E6BDC">
        <w:rPr>
          <w:rFonts w:ascii="Times New Roman" w:eastAsiaTheme="minorHAnsi" w:hAnsi="Times New Roman" w:cs="Times New Roman"/>
          <w:b/>
          <w:bCs/>
          <w:i/>
          <w:iCs/>
          <w:sz w:val="28"/>
          <w:szCs w:val="28"/>
          <w:lang w:val="en-US" w:eastAsia="en-US"/>
        </w:rPr>
        <w:t xml:space="preserve"> produced in response to the initial challenge binds to Fc receptors on mast cells and basophils. Allergen binding and cross-linking of the cell-surface </w:t>
      </w:r>
      <w:proofErr w:type="spellStart"/>
      <w:r w:rsidRPr="004E6BDC">
        <w:rPr>
          <w:rFonts w:ascii="Times New Roman" w:eastAsiaTheme="minorHAnsi" w:hAnsi="Times New Roman" w:cs="Times New Roman"/>
          <w:b/>
          <w:bCs/>
          <w:i/>
          <w:iCs/>
          <w:sz w:val="28"/>
          <w:szCs w:val="28"/>
          <w:lang w:val="en-US" w:eastAsia="en-US"/>
        </w:rPr>
        <w:t>IgE</w:t>
      </w:r>
      <w:proofErr w:type="spellEnd"/>
      <w:r w:rsidRPr="004E6BDC">
        <w:rPr>
          <w:rFonts w:ascii="Times New Roman" w:eastAsiaTheme="minorHAnsi" w:hAnsi="Times New Roman" w:cs="Times New Roman"/>
          <w:b/>
          <w:bCs/>
          <w:i/>
          <w:iCs/>
          <w:sz w:val="28"/>
          <w:szCs w:val="28"/>
          <w:lang w:val="en-US" w:eastAsia="en-US"/>
        </w:rPr>
        <w:t xml:space="preserve"> promotes</w:t>
      </w:r>
      <w:r w:rsid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release of histamine and prostaglandins from granules to produce symptoms. Examples are hay fever, asthma, penicillin allergy, and reaction to bee stings. IL, Interleukin; TH, T helper (cell).</w:t>
      </w:r>
    </w:p>
    <w:p w14:paraId="3D53EA77" w14:textId="77777777" w:rsidR="00233A24" w:rsidRPr="004E6BDC" w:rsidRDefault="00233A24"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p>
    <w:p w14:paraId="6D94D2EA" w14:textId="4B40D22F"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noProof/>
          <w:sz w:val="28"/>
          <w:szCs w:val="28"/>
          <w:lang w:val="en-US" w:eastAsia="en-US"/>
        </w:rPr>
        <w:drawing>
          <wp:inline distT="0" distB="0" distL="0" distR="0" wp14:anchorId="10CC319D" wp14:editId="04981407">
            <wp:extent cx="2038455" cy="3410125"/>
            <wp:effectExtent l="0" t="0" r="0" b="0"/>
            <wp:docPr id="204620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08322" name=""/>
                    <pic:cNvPicPr/>
                  </pic:nvPicPr>
                  <pic:blipFill>
                    <a:blip r:embed="rId27"/>
                    <a:stretch>
                      <a:fillRect/>
                    </a:stretch>
                  </pic:blipFill>
                  <pic:spPr>
                    <a:xfrm>
                      <a:off x="0" y="0"/>
                      <a:ext cx="2038455" cy="3410125"/>
                    </a:xfrm>
                    <a:prstGeom prst="rect">
                      <a:avLst/>
                    </a:prstGeom>
                  </pic:spPr>
                </pic:pic>
              </a:graphicData>
            </a:graphic>
          </wp:inline>
        </w:drawing>
      </w:r>
    </w:p>
    <w:p w14:paraId="486A3D78" w14:textId="77777777" w:rsidR="001872FD"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45D6AC59" w14:textId="77777777" w:rsidR="004E6BDC" w:rsidRPr="004E6BDC" w:rsidRDefault="004E6BDC"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5844A445" w14:textId="7C2CEBEE" w:rsidR="001872FD" w:rsidRPr="004E6BDC" w:rsidRDefault="001872FD"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Type II hypersensitivity: mediated by cell-bound antibody and complement. Complement activation promotes direct cell damage through the complement cascade and by the activation of effector cells. Examples are Goodpasture syndrome, the response to Rh factor in newborns, and autoimmune endocrinopathies. ADCC, Antibody</w:t>
      </w:r>
      <w:r w:rsidR="004E6BDC">
        <w:rPr>
          <w:rFonts w:ascii="Times New Roman" w:eastAsiaTheme="minorHAnsi" w:hAnsi="Times New Roman" w:cs="Times New Roman"/>
          <w:b/>
          <w:bCs/>
          <w:i/>
          <w:iCs/>
          <w:sz w:val="28"/>
          <w:szCs w:val="28"/>
          <w:lang w:eastAsia="en-US"/>
        </w:rPr>
        <w:t xml:space="preserve"> </w:t>
      </w:r>
      <w:r w:rsidRPr="004E6BDC">
        <w:rPr>
          <w:rFonts w:ascii="Times New Roman" w:eastAsiaTheme="minorHAnsi" w:hAnsi="Times New Roman" w:cs="Times New Roman"/>
          <w:b/>
          <w:bCs/>
          <w:i/>
          <w:iCs/>
          <w:sz w:val="28"/>
          <w:szCs w:val="28"/>
          <w:lang w:val="en-US" w:eastAsia="en-US"/>
        </w:rPr>
        <w:t>dependent cellular cytotoxicity; Ig, immunoglobulin.</w:t>
      </w:r>
    </w:p>
    <w:p w14:paraId="18E131DF" w14:textId="56B6E309"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noProof/>
          <w:sz w:val="28"/>
          <w:szCs w:val="28"/>
          <w:lang w:val="en-US" w:eastAsia="en-US"/>
        </w:rPr>
        <w:lastRenderedPageBreak/>
        <w:drawing>
          <wp:inline distT="0" distB="0" distL="0" distR="0" wp14:anchorId="4130BAE5" wp14:editId="057EA8E1">
            <wp:extent cx="2533780" cy="1949550"/>
            <wp:effectExtent l="0" t="0" r="0" b="0"/>
            <wp:docPr id="554435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35280" name=""/>
                    <pic:cNvPicPr/>
                  </pic:nvPicPr>
                  <pic:blipFill>
                    <a:blip r:embed="rId28"/>
                    <a:stretch>
                      <a:fillRect/>
                    </a:stretch>
                  </pic:blipFill>
                  <pic:spPr>
                    <a:xfrm>
                      <a:off x="0" y="0"/>
                      <a:ext cx="2533780" cy="1949550"/>
                    </a:xfrm>
                    <a:prstGeom prst="rect">
                      <a:avLst/>
                    </a:prstGeom>
                  </pic:spPr>
                </pic:pic>
              </a:graphicData>
            </a:graphic>
          </wp:inline>
        </w:drawing>
      </w:r>
    </w:p>
    <w:p w14:paraId="08E09B92" w14:textId="77777777" w:rsidR="001872FD"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7B3BAF24" w14:textId="77777777" w:rsidR="004E6BDC" w:rsidRPr="004E6BDC" w:rsidRDefault="004E6BDC"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7B432802" w14:textId="77777777" w:rsidR="004E6BDC" w:rsidRDefault="004E6BDC"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p>
    <w:p w14:paraId="1B5ECDEB" w14:textId="77777777" w:rsidR="004E6BDC" w:rsidRDefault="004E6BDC"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p>
    <w:p w14:paraId="08D88BF9" w14:textId="3CAFF70A" w:rsidR="001872FD" w:rsidRPr="004E6BDC" w:rsidRDefault="001872FD"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 xml:space="preserve">Type III hypersensitivity: immune complex mediated. Immune complexes can be trapped in the kidney and elsewhere in the body and can activate complement to promote </w:t>
      </w:r>
      <w:r w:rsidR="006D0C80">
        <w:rPr>
          <w:rFonts w:ascii="Times New Roman" w:eastAsiaTheme="minorHAnsi" w:hAnsi="Times New Roman" w:cs="Times New Roman"/>
          <w:b/>
          <w:bCs/>
          <w:i/>
          <w:iCs/>
          <w:sz w:val="28"/>
          <w:szCs w:val="28"/>
          <w:lang w:val="az-Latn-AZ" w:eastAsia="en-US"/>
        </w:rPr>
        <w:t>i</w:t>
      </w:r>
      <w:proofErr w:type="spellStart"/>
      <w:r w:rsidRPr="004E6BDC">
        <w:rPr>
          <w:rFonts w:ascii="Times New Roman" w:eastAsiaTheme="minorHAnsi" w:hAnsi="Times New Roman" w:cs="Times New Roman"/>
          <w:b/>
          <w:bCs/>
          <w:i/>
          <w:iCs/>
          <w:sz w:val="28"/>
          <w:szCs w:val="28"/>
          <w:lang w:val="en-US" w:eastAsia="en-US"/>
        </w:rPr>
        <w:t>nflammation</w:t>
      </w:r>
      <w:proofErr w:type="spellEnd"/>
      <w:r w:rsidRPr="004E6BDC">
        <w:rPr>
          <w:rFonts w:ascii="Times New Roman" w:eastAsiaTheme="minorHAnsi" w:hAnsi="Times New Roman" w:cs="Times New Roman"/>
          <w:b/>
          <w:bCs/>
          <w:i/>
          <w:iCs/>
          <w:sz w:val="28"/>
          <w:szCs w:val="28"/>
          <w:lang w:val="en-US" w:eastAsia="en-US"/>
        </w:rPr>
        <w:t xml:space="preserve">. Examples are serum sickness, nephritis associated with chronic hepatitis B infection, and </w:t>
      </w:r>
      <w:proofErr w:type="spellStart"/>
      <w:r w:rsidRPr="004E6BDC">
        <w:rPr>
          <w:rFonts w:ascii="Times New Roman" w:eastAsiaTheme="minorHAnsi" w:hAnsi="Times New Roman" w:cs="Times New Roman"/>
          <w:b/>
          <w:bCs/>
          <w:i/>
          <w:iCs/>
          <w:sz w:val="28"/>
          <w:szCs w:val="28"/>
          <w:lang w:val="en-US" w:eastAsia="en-US"/>
        </w:rPr>
        <w:t>Arthus</w:t>
      </w:r>
      <w:proofErr w:type="spellEnd"/>
      <w:r w:rsidRPr="004E6BDC">
        <w:rPr>
          <w:rFonts w:ascii="Times New Roman" w:eastAsiaTheme="minorHAnsi" w:hAnsi="Times New Roman" w:cs="Times New Roman"/>
          <w:b/>
          <w:bCs/>
          <w:i/>
          <w:iCs/>
          <w:sz w:val="28"/>
          <w:szCs w:val="28"/>
          <w:lang w:val="en-US" w:eastAsia="en-US"/>
        </w:rPr>
        <w:t xml:space="preserve"> reaction.</w:t>
      </w:r>
    </w:p>
    <w:p w14:paraId="16E5D538" w14:textId="65ECE952"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noProof/>
          <w:sz w:val="28"/>
          <w:szCs w:val="28"/>
          <w:lang w:val="en-US" w:eastAsia="en-US"/>
        </w:rPr>
        <w:drawing>
          <wp:inline distT="0" distB="0" distL="0" distR="0" wp14:anchorId="4CBFE853" wp14:editId="422A1905">
            <wp:extent cx="3143250" cy="3120024"/>
            <wp:effectExtent l="0" t="0" r="0" b="4445"/>
            <wp:docPr id="726020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20578" name=""/>
                    <pic:cNvPicPr/>
                  </pic:nvPicPr>
                  <pic:blipFill>
                    <a:blip r:embed="rId29"/>
                    <a:stretch>
                      <a:fillRect/>
                    </a:stretch>
                  </pic:blipFill>
                  <pic:spPr>
                    <a:xfrm>
                      <a:off x="0" y="0"/>
                      <a:ext cx="3150915" cy="3127633"/>
                    </a:xfrm>
                    <a:prstGeom prst="rect">
                      <a:avLst/>
                    </a:prstGeom>
                  </pic:spPr>
                </pic:pic>
              </a:graphicData>
            </a:graphic>
          </wp:inline>
        </w:drawing>
      </w:r>
    </w:p>
    <w:p w14:paraId="06757485" w14:textId="77777777"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108B800B" w14:textId="77777777" w:rsidR="004E6BDC" w:rsidRDefault="004E6BDC"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p>
    <w:p w14:paraId="21A57B7B" w14:textId="3BBB03BF" w:rsidR="001872FD" w:rsidRPr="004E6BDC" w:rsidRDefault="001872FD"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Type IV hypersensitivity: delayed-type hypersensitivity (DTH) mediated by CD4 T cells (TH1). In this case, chemically modified self-proteins</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are processed, and peptides are presented on antigen-presenting cells (APCs) to CD4 memory T cells cycling through the skin, which become activated</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and release cytokines (including interferon-_ [IFN-_]) that promote inflammation. Other examples of DTH are the tuberculin response (purified protein</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derivative test) and reaction to metals such as nickel. TCR, T-cell receptor; TH, T helper (cell).</w:t>
      </w:r>
    </w:p>
    <w:p w14:paraId="6BB87132" w14:textId="490B0539"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noProof/>
          <w:sz w:val="28"/>
          <w:szCs w:val="28"/>
          <w:lang w:val="en-US" w:eastAsia="en-US"/>
        </w:rPr>
        <w:lastRenderedPageBreak/>
        <w:drawing>
          <wp:inline distT="0" distB="0" distL="0" distR="0" wp14:anchorId="46D4432F" wp14:editId="582235FE">
            <wp:extent cx="3791145" cy="1587582"/>
            <wp:effectExtent l="0" t="0" r="0" b="0"/>
            <wp:docPr id="34806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68280" name=""/>
                    <pic:cNvPicPr/>
                  </pic:nvPicPr>
                  <pic:blipFill>
                    <a:blip r:embed="rId30"/>
                    <a:stretch>
                      <a:fillRect/>
                    </a:stretch>
                  </pic:blipFill>
                  <pic:spPr>
                    <a:xfrm>
                      <a:off x="0" y="0"/>
                      <a:ext cx="3791145" cy="1587582"/>
                    </a:xfrm>
                    <a:prstGeom prst="rect">
                      <a:avLst/>
                    </a:prstGeom>
                  </pic:spPr>
                </pic:pic>
              </a:graphicData>
            </a:graphic>
          </wp:inline>
        </w:drawing>
      </w:r>
    </w:p>
    <w:p w14:paraId="0CCCAC3E" w14:textId="77777777" w:rsidR="001872FD" w:rsidRPr="004E6BDC" w:rsidRDefault="001872FD"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p>
    <w:p w14:paraId="0EC04408" w14:textId="77777777" w:rsidR="004E6BDC" w:rsidRDefault="004E6BDC"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p>
    <w:p w14:paraId="30FFE896" w14:textId="52BBEEAD" w:rsidR="001872FD" w:rsidRPr="004E6BDC" w:rsidRDefault="001872FD"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Important Characteristics of Four Types of Delayed-Type Hypersensitivity Reactions</w:t>
      </w:r>
    </w:p>
    <w:p w14:paraId="75F3749E" w14:textId="28AC3190"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noProof/>
          <w:sz w:val="28"/>
          <w:szCs w:val="28"/>
          <w:lang w:val="en-US" w:eastAsia="en-US"/>
        </w:rPr>
        <w:drawing>
          <wp:inline distT="0" distB="0" distL="0" distR="0" wp14:anchorId="70F61948" wp14:editId="54F4C462">
            <wp:extent cx="6722644" cy="1881656"/>
            <wp:effectExtent l="0" t="0" r="2540" b="4445"/>
            <wp:docPr id="12648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5401" name=""/>
                    <pic:cNvPicPr/>
                  </pic:nvPicPr>
                  <pic:blipFill>
                    <a:blip r:embed="rId31"/>
                    <a:stretch>
                      <a:fillRect/>
                    </a:stretch>
                  </pic:blipFill>
                  <pic:spPr>
                    <a:xfrm>
                      <a:off x="0" y="0"/>
                      <a:ext cx="6743003" cy="1887354"/>
                    </a:xfrm>
                    <a:prstGeom prst="rect">
                      <a:avLst/>
                    </a:prstGeom>
                  </pic:spPr>
                </pic:pic>
              </a:graphicData>
            </a:graphic>
          </wp:inline>
        </w:drawing>
      </w:r>
    </w:p>
    <w:p w14:paraId="2B9FFF74" w14:textId="77777777"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124DE64F" w14:textId="0910B353" w:rsidR="001872FD" w:rsidRPr="004E6BDC" w:rsidRDefault="001872FD" w:rsidP="004E6BDC">
      <w:pPr>
        <w:autoSpaceDE w:val="0"/>
        <w:autoSpaceDN w:val="0"/>
        <w:adjustRightInd w:val="0"/>
        <w:spacing w:after="0" w:line="240" w:lineRule="auto"/>
        <w:rPr>
          <w:rFonts w:ascii="Times New Roman" w:eastAsiaTheme="minorHAnsi" w:hAnsi="Times New Roman" w:cs="Times New Roman"/>
          <w:b/>
          <w:bCs/>
          <w:i/>
          <w:iCs/>
          <w:sz w:val="28"/>
          <w:szCs w:val="28"/>
          <w:lang w:val="en-US" w:eastAsia="en-US"/>
        </w:rPr>
      </w:pPr>
      <w:r w:rsidRPr="004E6BDC">
        <w:rPr>
          <w:rFonts w:ascii="Times New Roman" w:eastAsiaTheme="minorHAnsi" w:hAnsi="Times New Roman" w:cs="Times New Roman"/>
          <w:b/>
          <w:bCs/>
          <w:i/>
          <w:iCs/>
          <w:sz w:val="28"/>
          <w:szCs w:val="28"/>
          <w:lang w:val="en-US" w:eastAsia="en-US"/>
        </w:rPr>
        <w:t>Contact and tuberculin hypersensitivity responses. These type IV responses are cell mediated but differ in the site of cell infiltration and in the symptoms. Contact</w:t>
      </w:r>
      <w:r w:rsidR="004E6BDC" w:rsidRPr="004E6BDC">
        <w:rPr>
          <w:rFonts w:ascii="Times New Roman" w:eastAsiaTheme="minorHAnsi" w:hAnsi="Times New Roman" w:cs="Times New Roman"/>
          <w:b/>
          <w:bCs/>
          <w:i/>
          <w:iCs/>
          <w:sz w:val="28"/>
          <w:szCs w:val="28"/>
          <w:lang w:val="en-US" w:eastAsia="en-US"/>
        </w:rPr>
        <w:t xml:space="preserve"> </w:t>
      </w:r>
      <w:r w:rsidRPr="004E6BDC">
        <w:rPr>
          <w:rFonts w:ascii="Times New Roman" w:eastAsiaTheme="minorHAnsi" w:hAnsi="Times New Roman" w:cs="Times New Roman"/>
          <w:b/>
          <w:bCs/>
          <w:i/>
          <w:iCs/>
          <w:sz w:val="28"/>
          <w:szCs w:val="28"/>
          <w:lang w:val="en-US" w:eastAsia="en-US"/>
        </w:rPr>
        <w:t>hypersensitivity occurs in the epidermis and leads to the formation of blisters; tuberculin-type hypersensitivity occurs in the dermis and is characterized by swelling.</w:t>
      </w:r>
    </w:p>
    <w:p w14:paraId="5827A67A" w14:textId="7B0CFC56"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4E6BDC">
        <w:rPr>
          <w:rFonts w:ascii="Times New Roman" w:eastAsiaTheme="minorHAnsi" w:hAnsi="Times New Roman" w:cs="Times New Roman"/>
          <w:noProof/>
          <w:sz w:val="28"/>
          <w:szCs w:val="28"/>
          <w:lang w:val="en-US" w:eastAsia="en-US"/>
        </w:rPr>
        <w:drawing>
          <wp:inline distT="0" distB="0" distL="0" distR="0" wp14:anchorId="3C3974B1" wp14:editId="3119D9BD">
            <wp:extent cx="3324175" cy="2159000"/>
            <wp:effectExtent l="0" t="0" r="0" b="0"/>
            <wp:docPr id="117558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87009" name=""/>
                    <pic:cNvPicPr/>
                  </pic:nvPicPr>
                  <pic:blipFill>
                    <a:blip r:embed="rId32"/>
                    <a:stretch>
                      <a:fillRect/>
                    </a:stretch>
                  </pic:blipFill>
                  <pic:spPr>
                    <a:xfrm>
                      <a:off x="0" y="0"/>
                      <a:ext cx="3331641" cy="2163849"/>
                    </a:xfrm>
                    <a:prstGeom prst="rect">
                      <a:avLst/>
                    </a:prstGeom>
                  </pic:spPr>
                </pic:pic>
              </a:graphicData>
            </a:graphic>
          </wp:inline>
        </w:drawing>
      </w:r>
    </w:p>
    <w:p w14:paraId="6A77D0E9" w14:textId="77777777" w:rsidR="001872FD" w:rsidRPr="004E6BDC" w:rsidRDefault="001872FD" w:rsidP="004E6BDC">
      <w:pPr>
        <w:autoSpaceDE w:val="0"/>
        <w:autoSpaceDN w:val="0"/>
        <w:adjustRightInd w:val="0"/>
        <w:spacing w:after="0" w:line="240" w:lineRule="auto"/>
        <w:rPr>
          <w:rFonts w:ascii="Times New Roman" w:eastAsiaTheme="minorHAnsi" w:hAnsi="Times New Roman" w:cs="Times New Roman"/>
          <w:sz w:val="28"/>
          <w:szCs w:val="28"/>
          <w:lang w:val="en-US" w:eastAsia="en-US"/>
        </w:rPr>
      </w:pPr>
    </w:p>
    <w:p w14:paraId="58A41E37" w14:textId="77777777" w:rsidR="007A6115" w:rsidRPr="004E6BDC" w:rsidRDefault="007A6115" w:rsidP="004E6BDC">
      <w:pPr>
        <w:autoSpaceDE w:val="0"/>
        <w:autoSpaceDN w:val="0"/>
        <w:adjustRightInd w:val="0"/>
        <w:spacing w:after="0" w:line="240" w:lineRule="auto"/>
        <w:rPr>
          <w:rFonts w:ascii="Times New Roman" w:hAnsi="Times New Roman" w:cs="Times New Roman"/>
          <w:sz w:val="28"/>
          <w:szCs w:val="28"/>
          <w:lang w:val="en-US"/>
        </w:rPr>
      </w:pPr>
    </w:p>
    <w:p w14:paraId="1F4A1293" w14:textId="77777777" w:rsidR="007A6115" w:rsidRPr="004E6BDC" w:rsidRDefault="007A6115" w:rsidP="004E6BDC">
      <w:pPr>
        <w:autoSpaceDE w:val="0"/>
        <w:autoSpaceDN w:val="0"/>
        <w:adjustRightInd w:val="0"/>
        <w:spacing w:after="0" w:line="240" w:lineRule="auto"/>
        <w:rPr>
          <w:rFonts w:ascii="Times New Roman" w:hAnsi="Times New Roman" w:cs="Times New Roman"/>
          <w:sz w:val="28"/>
          <w:szCs w:val="28"/>
          <w:lang w:val="en-US"/>
        </w:rPr>
      </w:pPr>
    </w:p>
    <w:p w14:paraId="509119F9" w14:textId="77777777" w:rsidR="000C5D06" w:rsidRPr="004E6BDC" w:rsidRDefault="000C5D06" w:rsidP="004E6BDC">
      <w:pPr>
        <w:spacing w:after="0" w:line="240" w:lineRule="auto"/>
        <w:ind w:left="720"/>
        <w:contextualSpacing/>
        <w:jc w:val="both"/>
        <w:rPr>
          <w:rFonts w:ascii="Times New Roman" w:eastAsiaTheme="minorHAnsi" w:hAnsi="Times New Roman" w:cs="Times New Roman"/>
          <w:sz w:val="28"/>
          <w:szCs w:val="28"/>
          <w:lang w:val="az-Latn-AZ" w:eastAsia="en-US"/>
        </w:rPr>
      </w:pPr>
    </w:p>
    <w:p w14:paraId="699E4D01" w14:textId="77777777" w:rsidR="00845F13" w:rsidRPr="004E6BDC" w:rsidRDefault="00845F13" w:rsidP="004E6BDC">
      <w:pPr>
        <w:spacing w:after="0" w:line="240" w:lineRule="auto"/>
        <w:rPr>
          <w:rFonts w:ascii="Times New Roman" w:eastAsiaTheme="minorHAnsi" w:hAnsi="Times New Roman" w:cs="Times New Roman"/>
          <w:sz w:val="28"/>
          <w:szCs w:val="28"/>
          <w:lang w:val="az-Latn-AZ" w:eastAsia="en-US"/>
        </w:rPr>
      </w:pPr>
    </w:p>
    <w:p w14:paraId="78FD209D" w14:textId="77777777" w:rsidR="004C6FE8" w:rsidRPr="004E6BDC" w:rsidRDefault="004C6FE8" w:rsidP="004E6BDC">
      <w:pPr>
        <w:spacing w:after="0" w:line="240" w:lineRule="auto"/>
        <w:rPr>
          <w:rFonts w:ascii="Times New Roman" w:hAnsi="Times New Roman" w:cs="Times New Roman"/>
          <w:b/>
          <w:sz w:val="28"/>
          <w:szCs w:val="28"/>
          <w:lang w:val="az-Latn-AZ"/>
        </w:rPr>
      </w:pPr>
    </w:p>
    <w:p w14:paraId="21D90D8A" w14:textId="77777777" w:rsidR="00845F13" w:rsidRPr="004E6BDC" w:rsidRDefault="00845F13" w:rsidP="004E6BDC">
      <w:pPr>
        <w:spacing w:after="0" w:line="240" w:lineRule="auto"/>
        <w:ind w:left="360" w:hanging="1560"/>
        <w:jc w:val="center"/>
        <w:rPr>
          <w:rFonts w:ascii="Times New Roman" w:hAnsi="Times New Roman" w:cs="Times New Roman"/>
          <w:b/>
          <w:sz w:val="28"/>
          <w:szCs w:val="28"/>
          <w:lang w:val="az-Latn-AZ"/>
        </w:rPr>
      </w:pPr>
    </w:p>
    <w:p w14:paraId="1EE92D31" w14:textId="73368626" w:rsidR="00845F13" w:rsidRPr="004E6BDC" w:rsidRDefault="008A390C" w:rsidP="004E6BDC">
      <w:pPr>
        <w:spacing w:after="0" w:line="240" w:lineRule="auto"/>
        <w:jc w:val="right"/>
        <w:rPr>
          <w:rFonts w:ascii="Times New Roman" w:hAnsi="Times New Roman" w:cs="Times New Roman"/>
          <w:b/>
          <w:bCs/>
          <w:i/>
          <w:sz w:val="28"/>
          <w:szCs w:val="28"/>
          <w:lang w:val="az-Latn-AZ"/>
        </w:rPr>
      </w:pPr>
      <w:r w:rsidRPr="004E6BDC">
        <w:rPr>
          <w:rFonts w:ascii="Times New Roman" w:hAnsi="Times New Roman" w:cs="Times New Roman"/>
          <w:b/>
          <w:bCs/>
          <w:i/>
          <w:sz w:val="28"/>
          <w:szCs w:val="28"/>
          <w:lang w:val="az-Latn-AZ"/>
        </w:rPr>
        <w:t xml:space="preserve"> </w:t>
      </w:r>
    </w:p>
    <w:p w14:paraId="72778445" w14:textId="77777777" w:rsidR="00845F13" w:rsidRPr="004E6BDC" w:rsidRDefault="00845F13" w:rsidP="004E6BDC">
      <w:pPr>
        <w:spacing w:after="0" w:line="240" w:lineRule="auto"/>
        <w:ind w:left="360" w:hanging="1560"/>
        <w:jc w:val="center"/>
        <w:rPr>
          <w:rFonts w:ascii="Times New Roman" w:hAnsi="Times New Roman" w:cs="Times New Roman"/>
          <w:b/>
          <w:sz w:val="28"/>
          <w:szCs w:val="28"/>
          <w:lang w:val="az-Latn-AZ"/>
        </w:rPr>
      </w:pPr>
    </w:p>
    <w:p w14:paraId="639FF0E9" w14:textId="77777777" w:rsidR="008A390C" w:rsidRPr="004E6BDC" w:rsidRDefault="008A390C" w:rsidP="004E6BDC">
      <w:pPr>
        <w:spacing w:after="0" w:line="240" w:lineRule="auto"/>
        <w:ind w:left="360" w:hanging="1560"/>
        <w:jc w:val="center"/>
        <w:rPr>
          <w:rFonts w:ascii="Times New Roman" w:hAnsi="Times New Roman" w:cs="Times New Roman"/>
          <w:b/>
          <w:sz w:val="28"/>
          <w:szCs w:val="28"/>
          <w:lang w:val="az-Latn-AZ"/>
        </w:rPr>
      </w:pPr>
    </w:p>
    <w:sectPr w:rsidR="008A390C" w:rsidRPr="004E6BDC" w:rsidSect="008B4DE6">
      <w:pgSz w:w="11906" w:h="16838"/>
      <w:pgMar w:top="720" w:right="424"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CE529" w14:textId="77777777" w:rsidR="00360A77" w:rsidRDefault="00360A77" w:rsidP="00F13F13">
      <w:pPr>
        <w:spacing w:after="0" w:line="240" w:lineRule="auto"/>
      </w:pPr>
      <w:r>
        <w:separator/>
      </w:r>
    </w:p>
  </w:endnote>
  <w:endnote w:type="continuationSeparator" w:id="0">
    <w:p w14:paraId="667229DB" w14:textId="77777777" w:rsidR="00360A77" w:rsidRDefault="00360A77" w:rsidP="00F13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nQ">
    <w:altName w:val="Microsoft YaHei"/>
    <w:panose1 w:val="00000000000000000000"/>
    <w:charset w:val="86"/>
    <w:family w:val="auto"/>
    <w:notTrueType/>
    <w:pitch w:val="default"/>
    <w:sig w:usb0="00000201" w:usb1="080E0000" w:usb2="00000010" w:usb3="00000000" w:csb0="0004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BB0A5" w14:textId="77777777" w:rsidR="00360A77" w:rsidRDefault="00360A77" w:rsidP="00F13F13">
      <w:pPr>
        <w:spacing w:after="0" w:line="240" w:lineRule="auto"/>
      </w:pPr>
      <w:r>
        <w:separator/>
      </w:r>
    </w:p>
  </w:footnote>
  <w:footnote w:type="continuationSeparator" w:id="0">
    <w:p w14:paraId="60F9117E" w14:textId="77777777" w:rsidR="00360A77" w:rsidRDefault="00360A77" w:rsidP="00F13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C9C"/>
    <w:multiLevelType w:val="hybridMultilevel"/>
    <w:tmpl w:val="EBE4471C"/>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706726"/>
    <w:multiLevelType w:val="hybridMultilevel"/>
    <w:tmpl w:val="D7081024"/>
    <w:lvl w:ilvl="0" w:tplc="72408FA2">
      <w:start w:val="1"/>
      <w:numFmt w:val="decimal"/>
      <w:lvlText w:val="%1."/>
      <w:lvlJc w:val="left"/>
      <w:pPr>
        <w:tabs>
          <w:tab w:val="num" w:pos="720"/>
        </w:tabs>
        <w:ind w:left="720" w:hanging="360"/>
      </w:pPr>
    </w:lvl>
    <w:lvl w:ilvl="1" w:tplc="9E10716A" w:tentative="1">
      <w:start w:val="1"/>
      <w:numFmt w:val="decimal"/>
      <w:lvlText w:val="%2."/>
      <w:lvlJc w:val="left"/>
      <w:pPr>
        <w:tabs>
          <w:tab w:val="num" w:pos="1440"/>
        </w:tabs>
        <w:ind w:left="1440" w:hanging="360"/>
      </w:pPr>
    </w:lvl>
    <w:lvl w:ilvl="2" w:tplc="74A42B6C" w:tentative="1">
      <w:start w:val="1"/>
      <w:numFmt w:val="decimal"/>
      <w:lvlText w:val="%3."/>
      <w:lvlJc w:val="left"/>
      <w:pPr>
        <w:tabs>
          <w:tab w:val="num" w:pos="2160"/>
        </w:tabs>
        <w:ind w:left="2160" w:hanging="360"/>
      </w:pPr>
    </w:lvl>
    <w:lvl w:ilvl="3" w:tplc="2EF0F594" w:tentative="1">
      <w:start w:val="1"/>
      <w:numFmt w:val="decimal"/>
      <w:lvlText w:val="%4."/>
      <w:lvlJc w:val="left"/>
      <w:pPr>
        <w:tabs>
          <w:tab w:val="num" w:pos="2880"/>
        </w:tabs>
        <w:ind w:left="2880" w:hanging="360"/>
      </w:pPr>
    </w:lvl>
    <w:lvl w:ilvl="4" w:tplc="DF86A7CE" w:tentative="1">
      <w:start w:val="1"/>
      <w:numFmt w:val="decimal"/>
      <w:lvlText w:val="%5."/>
      <w:lvlJc w:val="left"/>
      <w:pPr>
        <w:tabs>
          <w:tab w:val="num" w:pos="3600"/>
        </w:tabs>
        <w:ind w:left="3600" w:hanging="360"/>
      </w:pPr>
    </w:lvl>
    <w:lvl w:ilvl="5" w:tplc="300E07D6" w:tentative="1">
      <w:start w:val="1"/>
      <w:numFmt w:val="decimal"/>
      <w:lvlText w:val="%6."/>
      <w:lvlJc w:val="left"/>
      <w:pPr>
        <w:tabs>
          <w:tab w:val="num" w:pos="4320"/>
        </w:tabs>
        <w:ind w:left="4320" w:hanging="360"/>
      </w:pPr>
    </w:lvl>
    <w:lvl w:ilvl="6" w:tplc="E3B2E604" w:tentative="1">
      <w:start w:val="1"/>
      <w:numFmt w:val="decimal"/>
      <w:lvlText w:val="%7."/>
      <w:lvlJc w:val="left"/>
      <w:pPr>
        <w:tabs>
          <w:tab w:val="num" w:pos="5040"/>
        </w:tabs>
        <w:ind w:left="5040" w:hanging="360"/>
      </w:pPr>
    </w:lvl>
    <w:lvl w:ilvl="7" w:tplc="BC5ED4A0" w:tentative="1">
      <w:start w:val="1"/>
      <w:numFmt w:val="decimal"/>
      <w:lvlText w:val="%8."/>
      <w:lvlJc w:val="left"/>
      <w:pPr>
        <w:tabs>
          <w:tab w:val="num" w:pos="5760"/>
        </w:tabs>
        <w:ind w:left="5760" w:hanging="360"/>
      </w:pPr>
    </w:lvl>
    <w:lvl w:ilvl="8" w:tplc="86C00ADE" w:tentative="1">
      <w:start w:val="1"/>
      <w:numFmt w:val="decimal"/>
      <w:lvlText w:val="%9."/>
      <w:lvlJc w:val="left"/>
      <w:pPr>
        <w:tabs>
          <w:tab w:val="num" w:pos="6480"/>
        </w:tabs>
        <w:ind w:left="6480" w:hanging="360"/>
      </w:pPr>
    </w:lvl>
  </w:abstractNum>
  <w:abstractNum w:abstractNumId="2" w15:restartNumberingAfterBreak="0">
    <w:nsid w:val="041C4563"/>
    <w:multiLevelType w:val="hybridMultilevel"/>
    <w:tmpl w:val="30044FD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20748D"/>
    <w:multiLevelType w:val="hybridMultilevel"/>
    <w:tmpl w:val="09927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A0888"/>
    <w:multiLevelType w:val="hybridMultilevel"/>
    <w:tmpl w:val="1A520814"/>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30847"/>
    <w:multiLevelType w:val="hybridMultilevel"/>
    <w:tmpl w:val="097E9F0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D2A27"/>
    <w:multiLevelType w:val="hybridMultilevel"/>
    <w:tmpl w:val="60F4E9F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F51D0"/>
    <w:multiLevelType w:val="hybridMultilevel"/>
    <w:tmpl w:val="E3C6D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C462CC"/>
    <w:multiLevelType w:val="hybridMultilevel"/>
    <w:tmpl w:val="E95631BC"/>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943BBE"/>
    <w:multiLevelType w:val="hybridMultilevel"/>
    <w:tmpl w:val="3C7823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5A14E61"/>
    <w:multiLevelType w:val="hybridMultilevel"/>
    <w:tmpl w:val="3E34D652"/>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D62FFB"/>
    <w:multiLevelType w:val="hybridMultilevel"/>
    <w:tmpl w:val="C3788E4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231098"/>
    <w:multiLevelType w:val="hybridMultilevel"/>
    <w:tmpl w:val="830AA5D6"/>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1332C9C"/>
    <w:multiLevelType w:val="hybridMultilevel"/>
    <w:tmpl w:val="8A541A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C032C"/>
    <w:multiLevelType w:val="hybridMultilevel"/>
    <w:tmpl w:val="A844B964"/>
    <w:lvl w:ilvl="0" w:tplc="5D781F8E">
      <w:start w:val="1"/>
      <w:numFmt w:val="bullet"/>
      <w:lvlText w:val="-"/>
      <w:lvlJc w:val="left"/>
      <w:pPr>
        <w:ind w:left="76" w:hanging="360"/>
      </w:pPr>
      <w:rPr>
        <w:rFonts w:ascii="Times New Roman" w:eastAsiaTheme="minorHAnsi" w:hAnsi="Times New Roman" w:cs="Times New Roman"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5" w15:restartNumberingAfterBreak="0">
    <w:nsid w:val="373B17C3"/>
    <w:multiLevelType w:val="hybridMultilevel"/>
    <w:tmpl w:val="6E203E86"/>
    <w:lvl w:ilvl="0" w:tplc="5D781F8E">
      <w:start w:val="1"/>
      <w:numFmt w:val="bullet"/>
      <w:lvlText w:val="-"/>
      <w:lvlJc w:val="left"/>
      <w:pPr>
        <w:ind w:left="1215" w:hanging="360"/>
      </w:pPr>
      <w:rPr>
        <w:rFonts w:ascii="Times New Roman" w:eastAsiaTheme="minorHAnsi"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6" w15:restartNumberingAfterBreak="0">
    <w:nsid w:val="37E7631D"/>
    <w:multiLevelType w:val="hybridMultilevel"/>
    <w:tmpl w:val="46B61BCC"/>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F40177"/>
    <w:multiLevelType w:val="hybridMultilevel"/>
    <w:tmpl w:val="533A40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01C46"/>
    <w:multiLevelType w:val="hybridMultilevel"/>
    <w:tmpl w:val="DCD0D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7C64CE"/>
    <w:multiLevelType w:val="hybridMultilevel"/>
    <w:tmpl w:val="FA6A6A00"/>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76B1BC6"/>
    <w:multiLevelType w:val="hybridMultilevel"/>
    <w:tmpl w:val="5782996C"/>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D70EE9"/>
    <w:multiLevelType w:val="hybridMultilevel"/>
    <w:tmpl w:val="6E3687E4"/>
    <w:lvl w:ilvl="0" w:tplc="2A64A17C">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E70DAD"/>
    <w:multiLevelType w:val="hybridMultilevel"/>
    <w:tmpl w:val="9B802010"/>
    <w:lvl w:ilvl="0" w:tplc="5D781F8E">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2063D6"/>
    <w:multiLevelType w:val="hybridMultilevel"/>
    <w:tmpl w:val="B010DA1A"/>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F66307"/>
    <w:multiLevelType w:val="hybridMultilevel"/>
    <w:tmpl w:val="ADFABC50"/>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2D1414"/>
    <w:multiLevelType w:val="hybridMultilevel"/>
    <w:tmpl w:val="FFB672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AB21E27"/>
    <w:multiLevelType w:val="hybridMultilevel"/>
    <w:tmpl w:val="F9B2CEB6"/>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0647B3"/>
    <w:multiLevelType w:val="hybridMultilevel"/>
    <w:tmpl w:val="1FB007EA"/>
    <w:lvl w:ilvl="0" w:tplc="2724D25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8" w15:restartNumberingAfterBreak="0">
    <w:nsid w:val="62540894"/>
    <w:multiLevelType w:val="hybridMultilevel"/>
    <w:tmpl w:val="9AEE32B0"/>
    <w:lvl w:ilvl="0" w:tplc="5D781F8E">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627C085B"/>
    <w:multiLevelType w:val="hybridMultilevel"/>
    <w:tmpl w:val="E76EF048"/>
    <w:lvl w:ilvl="0" w:tplc="5D781F8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402558"/>
    <w:multiLevelType w:val="hybridMultilevel"/>
    <w:tmpl w:val="92F2C84C"/>
    <w:lvl w:ilvl="0" w:tplc="5D781F8E">
      <w:start w:val="1"/>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DF0196"/>
    <w:multiLevelType w:val="hybridMultilevel"/>
    <w:tmpl w:val="6A6E8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E86D47"/>
    <w:multiLevelType w:val="hybridMultilevel"/>
    <w:tmpl w:val="CA0A6E88"/>
    <w:lvl w:ilvl="0" w:tplc="F0DCD924">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CB6DFF"/>
    <w:multiLevelType w:val="hybridMultilevel"/>
    <w:tmpl w:val="FC748B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F133C"/>
    <w:multiLevelType w:val="hybridMultilevel"/>
    <w:tmpl w:val="96BA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98391E"/>
    <w:multiLevelType w:val="hybridMultilevel"/>
    <w:tmpl w:val="834C83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98701438">
    <w:abstractNumId w:val="35"/>
  </w:num>
  <w:num w:numId="2" w16cid:durableId="1338115968">
    <w:abstractNumId w:val="29"/>
  </w:num>
  <w:num w:numId="3" w16cid:durableId="1313024269">
    <w:abstractNumId w:val="23"/>
  </w:num>
  <w:num w:numId="4" w16cid:durableId="2045472817">
    <w:abstractNumId w:val="32"/>
  </w:num>
  <w:num w:numId="5" w16cid:durableId="1331134267">
    <w:abstractNumId w:val="1"/>
  </w:num>
  <w:num w:numId="6" w16cid:durableId="59980971">
    <w:abstractNumId w:val="31"/>
  </w:num>
  <w:num w:numId="7" w16cid:durableId="195385258">
    <w:abstractNumId w:val="9"/>
  </w:num>
  <w:num w:numId="8" w16cid:durableId="14183573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6057338">
    <w:abstractNumId w:val="4"/>
  </w:num>
  <w:num w:numId="10" w16cid:durableId="1126774564">
    <w:abstractNumId w:val="12"/>
  </w:num>
  <w:num w:numId="11" w16cid:durableId="2115127072">
    <w:abstractNumId w:val="28"/>
  </w:num>
  <w:num w:numId="12" w16cid:durableId="52504642">
    <w:abstractNumId w:val="22"/>
  </w:num>
  <w:num w:numId="13" w16cid:durableId="748229362">
    <w:abstractNumId w:val="19"/>
  </w:num>
  <w:num w:numId="14" w16cid:durableId="161241118">
    <w:abstractNumId w:val="8"/>
  </w:num>
  <w:num w:numId="15" w16cid:durableId="580138766">
    <w:abstractNumId w:val="10"/>
  </w:num>
  <w:num w:numId="16" w16cid:durableId="765813049">
    <w:abstractNumId w:val="26"/>
  </w:num>
  <w:num w:numId="17" w16cid:durableId="492840259">
    <w:abstractNumId w:val="20"/>
  </w:num>
  <w:num w:numId="18" w16cid:durableId="9307102">
    <w:abstractNumId w:val="24"/>
  </w:num>
  <w:num w:numId="19" w16cid:durableId="587926025">
    <w:abstractNumId w:val="2"/>
  </w:num>
  <w:num w:numId="20" w16cid:durableId="1632442783">
    <w:abstractNumId w:val="11"/>
  </w:num>
  <w:num w:numId="21" w16cid:durableId="1956397986">
    <w:abstractNumId w:val="15"/>
  </w:num>
  <w:num w:numId="22" w16cid:durableId="690037655">
    <w:abstractNumId w:val="3"/>
  </w:num>
  <w:num w:numId="23" w16cid:durableId="1912734104">
    <w:abstractNumId w:val="30"/>
  </w:num>
  <w:num w:numId="24" w16cid:durableId="890380222">
    <w:abstractNumId w:val="33"/>
  </w:num>
  <w:num w:numId="25" w16cid:durableId="717893858">
    <w:abstractNumId w:val="34"/>
  </w:num>
  <w:num w:numId="26" w16cid:durableId="2005669153">
    <w:abstractNumId w:val="27"/>
  </w:num>
  <w:num w:numId="27" w16cid:durableId="242684443">
    <w:abstractNumId w:val="14"/>
  </w:num>
  <w:num w:numId="28" w16cid:durableId="953289659">
    <w:abstractNumId w:val="21"/>
  </w:num>
  <w:num w:numId="29" w16cid:durableId="851728052">
    <w:abstractNumId w:val="0"/>
  </w:num>
  <w:num w:numId="30" w16cid:durableId="1261109333">
    <w:abstractNumId w:val="16"/>
  </w:num>
  <w:num w:numId="31" w16cid:durableId="1432629654">
    <w:abstractNumId w:val="18"/>
  </w:num>
  <w:num w:numId="32" w16cid:durableId="767310900">
    <w:abstractNumId w:val="6"/>
  </w:num>
  <w:num w:numId="33" w16cid:durableId="866869003">
    <w:abstractNumId w:val="17"/>
  </w:num>
  <w:num w:numId="34" w16cid:durableId="1929078819">
    <w:abstractNumId w:val="13"/>
  </w:num>
  <w:num w:numId="35" w16cid:durableId="1387678164">
    <w:abstractNumId w:val="5"/>
  </w:num>
  <w:num w:numId="36" w16cid:durableId="35397674">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F4A"/>
    <w:rsid w:val="00001A2E"/>
    <w:rsid w:val="0000458A"/>
    <w:rsid w:val="00020DDA"/>
    <w:rsid w:val="00025E69"/>
    <w:rsid w:val="00027068"/>
    <w:rsid w:val="00040EC1"/>
    <w:rsid w:val="000469D6"/>
    <w:rsid w:val="00046D6E"/>
    <w:rsid w:val="00050AC1"/>
    <w:rsid w:val="00061344"/>
    <w:rsid w:val="000658DF"/>
    <w:rsid w:val="00066766"/>
    <w:rsid w:val="00067EDD"/>
    <w:rsid w:val="00070829"/>
    <w:rsid w:val="00073CE5"/>
    <w:rsid w:val="00081ADE"/>
    <w:rsid w:val="0008609B"/>
    <w:rsid w:val="00094658"/>
    <w:rsid w:val="000A4EBA"/>
    <w:rsid w:val="000A785F"/>
    <w:rsid w:val="000C1A19"/>
    <w:rsid w:val="000C3D1F"/>
    <w:rsid w:val="000C5D06"/>
    <w:rsid w:val="000D2084"/>
    <w:rsid w:val="000D2407"/>
    <w:rsid w:val="000D7C42"/>
    <w:rsid w:val="000E347F"/>
    <w:rsid w:val="000E3D0C"/>
    <w:rsid w:val="000E42FA"/>
    <w:rsid w:val="000E6625"/>
    <w:rsid w:val="000F1699"/>
    <w:rsid w:val="000F1FBC"/>
    <w:rsid w:val="000F56E7"/>
    <w:rsid w:val="0012241C"/>
    <w:rsid w:val="00122F66"/>
    <w:rsid w:val="00123C83"/>
    <w:rsid w:val="001260F2"/>
    <w:rsid w:val="00127650"/>
    <w:rsid w:val="001323DF"/>
    <w:rsid w:val="00135FD0"/>
    <w:rsid w:val="001366E7"/>
    <w:rsid w:val="00136E35"/>
    <w:rsid w:val="001372F4"/>
    <w:rsid w:val="00137C08"/>
    <w:rsid w:val="00137E3B"/>
    <w:rsid w:val="0014060F"/>
    <w:rsid w:val="00153618"/>
    <w:rsid w:val="00154951"/>
    <w:rsid w:val="00155977"/>
    <w:rsid w:val="001668F2"/>
    <w:rsid w:val="00170068"/>
    <w:rsid w:val="00171C1D"/>
    <w:rsid w:val="00171C57"/>
    <w:rsid w:val="00175C54"/>
    <w:rsid w:val="00177726"/>
    <w:rsid w:val="001872FD"/>
    <w:rsid w:val="001A6505"/>
    <w:rsid w:val="001C01C3"/>
    <w:rsid w:val="001D1EE8"/>
    <w:rsid w:val="001E0532"/>
    <w:rsid w:val="001E29D2"/>
    <w:rsid w:val="001E6759"/>
    <w:rsid w:val="001F38D3"/>
    <w:rsid w:val="001F6B0F"/>
    <w:rsid w:val="00214859"/>
    <w:rsid w:val="002152F6"/>
    <w:rsid w:val="00225F23"/>
    <w:rsid w:val="00233A24"/>
    <w:rsid w:val="00233A4E"/>
    <w:rsid w:val="002347E4"/>
    <w:rsid w:val="00235B57"/>
    <w:rsid w:val="00242FAB"/>
    <w:rsid w:val="002472AE"/>
    <w:rsid w:val="002517F4"/>
    <w:rsid w:val="0025712F"/>
    <w:rsid w:val="002720EB"/>
    <w:rsid w:val="00273C11"/>
    <w:rsid w:val="002740A6"/>
    <w:rsid w:val="00277DFE"/>
    <w:rsid w:val="002821AE"/>
    <w:rsid w:val="002847DB"/>
    <w:rsid w:val="00287608"/>
    <w:rsid w:val="00287839"/>
    <w:rsid w:val="00291589"/>
    <w:rsid w:val="002915A7"/>
    <w:rsid w:val="002A5A39"/>
    <w:rsid w:val="002B3BEA"/>
    <w:rsid w:val="002B493C"/>
    <w:rsid w:val="002B642B"/>
    <w:rsid w:val="002E1086"/>
    <w:rsid w:val="002E2180"/>
    <w:rsid w:val="002E6D72"/>
    <w:rsid w:val="002F211A"/>
    <w:rsid w:val="002F34A9"/>
    <w:rsid w:val="003003E3"/>
    <w:rsid w:val="00307A01"/>
    <w:rsid w:val="00312E67"/>
    <w:rsid w:val="003238CF"/>
    <w:rsid w:val="00345FD8"/>
    <w:rsid w:val="00357A91"/>
    <w:rsid w:val="00360A77"/>
    <w:rsid w:val="00362946"/>
    <w:rsid w:val="003665F1"/>
    <w:rsid w:val="00373C92"/>
    <w:rsid w:val="00374936"/>
    <w:rsid w:val="003755C6"/>
    <w:rsid w:val="00385C84"/>
    <w:rsid w:val="00391DFA"/>
    <w:rsid w:val="003920E3"/>
    <w:rsid w:val="00393637"/>
    <w:rsid w:val="003944DA"/>
    <w:rsid w:val="003A39A5"/>
    <w:rsid w:val="003B151E"/>
    <w:rsid w:val="003C2A0E"/>
    <w:rsid w:val="003D2377"/>
    <w:rsid w:val="003D43FD"/>
    <w:rsid w:val="003D6AE6"/>
    <w:rsid w:val="003E671D"/>
    <w:rsid w:val="003F6919"/>
    <w:rsid w:val="003F7509"/>
    <w:rsid w:val="0040090F"/>
    <w:rsid w:val="004077DF"/>
    <w:rsid w:val="004110F3"/>
    <w:rsid w:val="00415746"/>
    <w:rsid w:val="00426744"/>
    <w:rsid w:val="00426EAF"/>
    <w:rsid w:val="004321E1"/>
    <w:rsid w:val="0044043B"/>
    <w:rsid w:val="00440F82"/>
    <w:rsid w:val="004410FE"/>
    <w:rsid w:val="00455D3E"/>
    <w:rsid w:val="004805FF"/>
    <w:rsid w:val="00485CB5"/>
    <w:rsid w:val="00485EE5"/>
    <w:rsid w:val="0049639C"/>
    <w:rsid w:val="004A2025"/>
    <w:rsid w:val="004A2C51"/>
    <w:rsid w:val="004A4121"/>
    <w:rsid w:val="004C6FE8"/>
    <w:rsid w:val="004D537E"/>
    <w:rsid w:val="004E251F"/>
    <w:rsid w:val="004E62C5"/>
    <w:rsid w:val="004E6965"/>
    <w:rsid w:val="004E6BDC"/>
    <w:rsid w:val="004F17B2"/>
    <w:rsid w:val="004F3E25"/>
    <w:rsid w:val="004F502B"/>
    <w:rsid w:val="004F51DE"/>
    <w:rsid w:val="00503999"/>
    <w:rsid w:val="00504772"/>
    <w:rsid w:val="005146BC"/>
    <w:rsid w:val="00521421"/>
    <w:rsid w:val="00522ADD"/>
    <w:rsid w:val="005243CF"/>
    <w:rsid w:val="00526E5D"/>
    <w:rsid w:val="005347C0"/>
    <w:rsid w:val="00535E76"/>
    <w:rsid w:val="0056537F"/>
    <w:rsid w:val="00576830"/>
    <w:rsid w:val="005830FC"/>
    <w:rsid w:val="005875C2"/>
    <w:rsid w:val="00593920"/>
    <w:rsid w:val="00595AA6"/>
    <w:rsid w:val="005A142F"/>
    <w:rsid w:val="005A49BF"/>
    <w:rsid w:val="005B1BA1"/>
    <w:rsid w:val="005B5A13"/>
    <w:rsid w:val="005C0AE0"/>
    <w:rsid w:val="005C4F79"/>
    <w:rsid w:val="005C6B6E"/>
    <w:rsid w:val="005C7AA9"/>
    <w:rsid w:val="005C7C5B"/>
    <w:rsid w:val="005D6F30"/>
    <w:rsid w:val="005E1990"/>
    <w:rsid w:val="005E2B26"/>
    <w:rsid w:val="005E4C7C"/>
    <w:rsid w:val="005E6341"/>
    <w:rsid w:val="005F3B8C"/>
    <w:rsid w:val="005F636F"/>
    <w:rsid w:val="006109C5"/>
    <w:rsid w:val="006109FF"/>
    <w:rsid w:val="00624A47"/>
    <w:rsid w:val="00624C2D"/>
    <w:rsid w:val="00644005"/>
    <w:rsid w:val="0066592E"/>
    <w:rsid w:val="00667D75"/>
    <w:rsid w:val="00672737"/>
    <w:rsid w:val="00676F3A"/>
    <w:rsid w:val="00682731"/>
    <w:rsid w:val="006860DD"/>
    <w:rsid w:val="006878D4"/>
    <w:rsid w:val="006A2041"/>
    <w:rsid w:val="006A79AB"/>
    <w:rsid w:val="006B0D7D"/>
    <w:rsid w:val="006B7A05"/>
    <w:rsid w:val="006D0C80"/>
    <w:rsid w:val="006E2A8D"/>
    <w:rsid w:val="006E4A26"/>
    <w:rsid w:val="006F23EE"/>
    <w:rsid w:val="006F45FA"/>
    <w:rsid w:val="006F4DA1"/>
    <w:rsid w:val="0071012F"/>
    <w:rsid w:val="0071247E"/>
    <w:rsid w:val="00712DB7"/>
    <w:rsid w:val="00717CB8"/>
    <w:rsid w:val="00723583"/>
    <w:rsid w:val="00724344"/>
    <w:rsid w:val="0073183D"/>
    <w:rsid w:val="00733CD6"/>
    <w:rsid w:val="00755E1E"/>
    <w:rsid w:val="00757124"/>
    <w:rsid w:val="0076169B"/>
    <w:rsid w:val="0076445B"/>
    <w:rsid w:val="00765BEA"/>
    <w:rsid w:val="007678B5"/>
    <w:rsid w:val="00770130"/>
    <w:rsid w:val="00770239"/>
    <w:rsid w:val="00783920"/>
    <w:rsid w:val="00787369"/>
    <w:rsid w:val="00793387"/>
    <w:rsid w:val="00794899"/>
    <w:rsid w:val="00795323"/>
    <w:rsid w:val="00797F67"/>
    <w:rsid w:val="007A2782"/>
    <w:rsid w:val="007A6115"/>
    <w:rsid w:val="007B2E69"/>
    <w:rsid w:val="007B3CCC"/>
    <w:rsid w:val="007B3F10"/>
    <w:rsid w:val="007C2AA5"/>
    <w:rsid w:val="007C7A4E"/>
    <w:rsid w:val="007D3D98"/>
    <w:rsid w:val="007D5F4B"/>
    <w:rsid w:val="007D6C37"/>
    <w:rsid w:val="007E7619"/>
    <w:rsid w:val="0080224A"/>
    <w:rsid w:val="008101CA"/>
    <w:rsid w:val="0081132B"/>
    <w:rsid w:val="008122D9"/>
    <w:rsid w:val="00814605"/>
    <w:rsid w:val="0081656B"/>
    <w:rsid w:val="00827057"/>
    <w:rsid w:val="008311D9"/>
    <w:rsid w:val="00831902"/>
    <w:rsid w:val="00833433"/>
    <w:rsid w:val="00834282"/>
    <w:rsid w:val="00845F13"/>
    <w:rsid w:val="00850484"/>
    <w:rsid w:val="0085445D"/>
    <w:rsid w:val="00863AEF"/>
    <w:rsid w:val="00883803"/>
    <w:rsid w:val="008845C7"/>
    <w:rsid w:val="0088582F"/>
    <w:rsid w:val="00891FB5"/>
    <w:rsid w:val="00894B62"/>
    <w:rsid w:val="008A1441"/>
    <w:rsid w:val="008A390C"/>
    <w:rsid w:val="008B4DE6"/>
    <w:rsid w:val="008D28DE"/>
    <w:rsid w:val="008D7BBA"/>
    <w:rsid w:val="008E1341"/>
    <w:rsid w:val="008E3134"/>
    <w:rsid w:val="00912DF0"/>
    <w:rsid w:val="009170E0"/>
    <w:rsid w:val="00917A87"/>
    <w:rsid w:val="009206B8"/>
    <w:rsid w:val="00922500"/>
    <w:rsid w:val="0092670C"/>
    <w:rsid w:val="0093209B"/>
    <w:rsid w:val="009334FC"/>
    <w:rsid w:val="0094653F"/>
    <w:rsid w:val="009543C0"/>
    <w:rsid w:val="0095580A"/>
    <w:rsid w:val="00956D76"/>
    <w:rsid w:val="0096514C"/>
    <w:rsid w:val="00985D5C"/>
    <w:rsid w:val="00996925"/>
    <w:rsid w:val="009B0DCA"/>
    <w:rsid w:val="009B6774"/>
    <w:rsid w:val="009B7927"/>
    <w:rsid w:val="009C55A1"/>
    <w:rsid w:val="009C6B4C"/>
    <w:rsid w:val="009F0B43"/>
    <w:rsid w:val="009F0FEA"/>
    <w:rsid w:val="00A0062E"/>
    <w:rsid w:val="00A06444"/>
    <w:rsid w:val="00A25D42"/>
    <w:rsid w:val="00A2668A"/>
    <w:rsid w:val="00A30BE1"/>
    <w:rsid w:val="00A343B3"/>
    <w:rsid w:val="00A433F0"/>
    <w:rsid w:val="00A46870"/>
    <w:rsid w:val="00A530CE"/>
    <w:rsid w:val="00A76D6C"/>
    <w:rsid w:val="00A80F4A"/>
    <w:rsid w:val="00A84AF9"/>
    <w:rsid w:val="00A86E06"/>
    <w:rsid w:val="00A92B62"/>
    <w:rsid w:val="00A96A95"/>
    <w:rsid w:val="00A977BB"/>
    <w:rsid w:val="00AA279A"/>
    <w:rsid w:val="00AA3F34"/>
    <w:rsid w:val="00AA7A93"/>
    <w:rsid w:val="00AB0341"/>
    <w:rsid w:val="00AB4E5D"/>
    <w:rsid w:val="00AB7707"/>
    <w:rsid w:val="00AC1CBE"/>
    <w:rsid w:val="00AC1CEB"/>
    <w:rsid w:val="00AC4110"/>
    <w:rsid w:val="00AD31AD"/>
    <w:rsid w:val="00AE03D7"/>
    <w:rsid w:val="00AE7BB7"/>
    <w:rsid w:val="00B0608F"/>
    <w:rsid w:val="00B07BAC"/>
    <w:rsid w:val="00B07CB3"/>
    <w:rsid w:val="00B148E6"/>
    <w:rsid w:val="00B17AE5"/>
    <w:rsid w:val="00B272BF"/>
    <w:rsid w:val="00B33643"/>
    <w:rsid w:val="00B351AC"/>
    <w:rsid w:val="00B3538F"/>
    <w:rsid w:val="00B41FEA"/>
    <w:rsid w:val="00B53682"/>
    <w:rsid w:val="00B61781"/>
    <w:rsid w:val="00B7110A"/>
    <w:rsid w:val="00B76B3C"/>
    <w:rsid w:val="00B8045F"/>
    <w:rsid w:val="00B85268"/>
    <w:rsid w:val="00B86103"/>
    <w:rsid w:val="00BB668D"/>
    <w:rsid w:val="00BC1AFB"/>
    <w:rsid w:val="00BC2B93"/>
    <w:rsid w:val="00BC627B"/>
    <w:rsid w:val="00BC778C"/>
    <w:rsid w:val="00BD3A7A"/>
    <w:rsid w:val="00BD64AE"/>
    <w:rsid w:val="00BF108F"/>
    <w:rsid w:val="00BF540B"/>
    <w:rsid w:val="00C0165E"/>
    <w:rsid w:val="00C13260"/>
    <w:rsid w:val="00C34D79"/>
    <w:rsid w:val="00C34F21"/>
    <w:rsid w:val="00C35D12"/>
    <w:rsid w:val="00C374A8"/>
    <w:rsid w:val="00C3777B"/>
    <w:rsid w:val="00C45303"/>
    <w:rsid w:val="00C56282"/>
    <w:rsid w:val="00C6168F"/>
    <w:rsid w:val="00C651C3"/>
    <w:rsid w:val="00C777B1"/>
    <w:rsid w:val="00C819BA"/>
    <w:rsid w:val="00C8615B"/>
    <w:rsid w:val="00C877C3"/>
    <w:rsid w:val="00C91896"/>
    <w:rsid w:val="00CA3A12"/>
    <w:rsid w:val="00CA4F72"/>
    <w:rsid w:val="00CA6A44"/>
    <w:rsid w:val="00CA6DA9"/>
    <w:rsid w:val="00CB1289"/>
    <w:rsid w:val="00CB3763"/>
    <w:rsid w:val="00CC694D"/>
    <w:rsid w:val="00CE0A24"/>
    <w:rsid w:val="00CE13BA"/>
    <w:rsid w:val="00CE30C6"/>
    <w:rsid w:val="00CE7392"/>
    <w:rsid w:val="00CE7BEC"/>
    <w:rsid w:val="00D12B24"/>
    <w:rsid w:val="00D14BA3"/>
    <w:rsid w:val="00D14BF5"/>
    <w:rsid w:val="00D2318B"/>
    <w:rsid w:val="00D26EE7"/>
    <w:rsid w:val="00D3133C"/>
    <w:rsid w:val="00D35AC5"/>
    <w:rsid w:val="00D45D10"/>
    <w:rsid w:val="00D65A52"/>
    <w:rsid w:val="00D70DC6"/>
    <w:rsid w:val="00D719FB"/>
    <w:rsid w:val="00D7244F"/>
    <w:rsid w:val="00D74B2A"/>
    <w:rsid w:val="00D77028"/>
    <w:rsid w:val="00D85822"/>
    <w:rsid w:val="00D908F7"/>
    <w:rsid w:val="00DB6E1B"/>
    <w:rsid w:val="00DC68DC"/>
    <w:rsid w:val="00DC7A11"/>
    <w:rsid w:val="00DD43B9"/>
    <w:rsid w:val="00DD766A"/>
    <w:rsid w:val="00DD7803"/>
    <w:rsid w:val="00DE086E"/>
    <w:rsid w:val="00DE6E3D"/>
    <w:rsid w:val="00DE6E9F"/>
    <w:rsid w:val="00DF0E59"/>
    <w:rsid w:val="00DF143B"/>
    <w:rsid w:val="00E00E82"/>
    <w:rsid w:val="00E01197"/>
    <w:rsid w:val="00E023B7"/>
    <w:rsid w:val="00E12643"/>
    <w:rsid w:val="00E212B0"/>
    <w:rsid w:val="00E22803"/>
    <w:rsid w:val="00E30C9F"/>
    <w:rsid w:val="00E31DEF"/>
    <w:rsid w:val="00E34F33"/>
    <w:rsid w:val="00E517FA"/>
    <w:rsid w:val="00E5373A"/>
    <w:rsid w:val="00E80185"/>
    <w:rsid w:val="00E8619C"/>
    <w:rsid w:val="00E878FA"/>
    <w:rsid w:val="00E87D1A"/>
    <w:rsid w:val="00E92750"/>
    <w:rsid w:val="00E9627E"/>
    <w:rsid w:val="00E9759F"/>
    <w:rsid w:val="00EA2209"/>
    <w:rsid w:val="00EA44CC"/>
    <w:rsid w:val="00EA4C6D"/>
    <w:rsid w:val="00EA78C9"/>
    <w:rsid w:val="00EC0264"/>
    <w:rsid w:val="00EC12EE"/>
    <w:rsid w:val="00EC3649"/>
    <w:rsid w:val="00ED0B48"/>
    <w:rsid w:val="00ED3B0F"/>
    <w:rsid w:val="00ED42FA"/>
    <w:rsid w:val="00EF2845"/>
    <w:rsid w:val="00EF462B"/>
    <w:rsid w:val="00EF525B"/>
    <w:rsid w:val="00F012BC"/>
    <w:rsid w:val="00F01726"/>
    <w:rsid w:val="00F06D31"/>
    <w:rsid w:val="00F13F13"/>
    <w:rsid w:val="00F174A7"/>
    <w:rsid w:val="00F179F4"/>
    <w:rsid w:val="00F20E57"/>
    <w:rsid w:val="00F312BA"/>
    <w:rsid w:val="00F334E6"/>
    <w:rsid w:val="00F40D6B"/>
    <w:rsid w:val="00F4490E"/>
    <w:rsid w:val="00F44C04"/>
    <w:rsid w:val="00F46126"/>
    <w:rsid w:val="00F5165F"/>
    <w:rsid w:val="00F55A7B"/>
    <w:rsid w:val="00F63F69"/>
    <w:rsid w:val="00F7506B"/>
    <w:rsid w:val="00F9302A"/>
    <w:rsid w:val="00F959C6"/>
    <w:rsid w:val="00F978AE"/>
    <w:rsid w:val="00FA305B"/>
    <w:rsid w:val="00FA5C13"/>
    <w:rsid w:val="00FA7F94"/>
    <w:rsid w:val="00FB34CA"/>
    <w:rsid w:val="00FB4BBE"/>
    <w:rsid w:val="00FB6EFA"/>
    <w:rsid w:val="00FC3A12"/>
    <w:rsid w:val="00FC54AA"/>
    <w:rsid w:val="00FC594C"/>
    <w:rsid w:val="00FD6EFF"/>
    <w:rsid w:val="00FD787F"/>
    <w:rsid w:val="00FE2747"/>
    <w:rsid w:val="00FE2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695E8"/>
  <w15:docId w15:val="{F09EBAD7-92A6-441B-8219-0C59DE90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25"/>
    <w:pPr>
      <w:spacing w:after="200" w:line="276" w:lineRule="auto"/>
    </w:pPr>
    <w:rPr>
      <w:rFonts w:eastAsiaTheme="minorEastAsia"/>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625"/>
    <w:pPr>
      <w:ind w:left="720"/>
      <w:contextualSpacing/>
    </w:pPr>
  </w:style>
  <w:style w:type="paragraph" w:styleId="Header">
    <w:name w:val="header"/>
    <w:basedOn w:val="Normal"/>
    <w:link w:val="HeaderChar"/>
    <w:uiPriority w:val="99"/>
    <w:unhideWhenUsed/>
    <w:rsid w:val="00F13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F13"/>
    <w:rPr>
      <w:rFonts w:eastAsiaTheme="minorEastAsia"/>
      <w:lang w:eastAsia="ru-RU"/>
    </w:rPr>
  </w:style>
  <w:style w:type="paragraph" w:styleId="Footer">
    <w:name w:val="footer"/>
    <w:basedOn w:val="Normal"/>
    <w:link w:val="FooterChar"/>
    <w:uiPriority w:val="99"/>
    <w:unhideWhenUsed/>
    <w:rsid w:val="00F13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F13"/>
    <w:rPr>
      <w:rFonts w:eastAsiaTheme="minorEastAsia"/>
      <w:lang w:eastAsia="ru-RU"/>
    </w:rPr>
  </w:style>
  <w:style w:type="paragraph" w:styleId="BalloonText">
    <w:name w:val="Balloon Text"/>
    <w:basedOn w:val="Normal"/>
    <w:link w:val="BalloonTextChar"/>
    <w:uiPriority w:val="99"/>
    <w:semiHidden/>
    <w:unhideWhenUsed/>
    <w:rsid w:val="000946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658"/>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0B53B-F9D2-4317-9045-C8DB597F4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16</Pages>
  <Words>2538</Words>
  <Characters>14468</Characters>
  <Application>Microsoft Office Word</Application>
  <DocSecurity>0</DocSecurity>
  <Lines>120</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Vəfa İsgəndərova</dc:creator>
  <cp:lastModifiedBy>Hayat Aliyeva</cp:lastModifiedBy>
  <cp:revision>9</cp:revision>
  <cp:lastPrinted>2023-02-10T05:00:00Z</cp:lastPrinted>
  <dcterms:created xsi:type="dcterms:W3CDTF">2023-05-08T13:36:00Z</dcterms:created>
  <dcterms:modified xsi:type="dcterms:W3CDTF">2023-05-11T15:04:00Z</dcterms:modified>
</cp:coreProperties>
</file>